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95550" cy="8747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74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Greenville Affordable Housing Coalition Large Group Meeting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August 4th, 9:00-11:00 a.m.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County Council budget (John Castile, GCRA)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Council chose to allocate an additional $10 million for affordable housing over the next two years → plan going forward is for GCRA, GHF, and the County Administrator to develop a plan for how to use funding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everyone who has worked to make this a priority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County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Council, and congratulations!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Rescue Plan (Lorain Crowl, UHC)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the Graham Foundation, Rethinking Homelessness (an organization with a vision for how to deploy ARP dollars) provided a six week intensive training program for ARP dollars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Greenville Cares (ARP partnership)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ARP Plan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ERAP round I and II (through Greenville County)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for rental/utilities assistance, case management, housing support services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Solutions Grant funding deployed for outreach/shelter services, homelessness prevention, rapid re-housing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Housing Vouchers (TGHA)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Targeted individuals in shelter, families in shelter, and special populations (domestic violence victims, veterans, youth)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 applications in, 20 approved and in progress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program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Funds used for property acquisition, rent stabilization, development/rehab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Rental Assistance Program at Greenville County (Nicole Wood,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Meredith Papapieris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ERAP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Greenville County received $15 million for emergency rental assistance in January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Launched program in March in partnership with Neighborly software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Eligibility: at or below 80% AMI for Greenville County, reduction in income due to COVID, and risk for homelessness/housing instability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Covers rent (up to 3 months in the future), rental arrears (up to 12 months), and utilities arrears (electric, gas, and water)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Payments made directly to landlord/utility provider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is linked between tenants and landlords (both can apply and invite the other)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turnaround time is 5 days for a complete submission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Currently, $6.45 million dollars have been disbursed to 1413 tenants and 396 unique landlords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ERAP 2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an additional award in May for $12.5 million in additional emergency rental assistance funding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partnering with local housing non-profits on a holistic emergency housing program focusing on homeless families and others with case management, outreach, deposits and rental assistance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to launch in August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an outreach strategy in partnership with other housing non-profits</w:t>
      </w:r>
    </w:p>
    <w:p w:rsidR="00000000" w:rsidDel="00000000" w:rsidP="00000000" w:rsidRDefault="00000000" w:rsidRPr="00000000" w14:paraId="00000026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is to get the word out and make sure that everyone has access (utilizing voices that are already present in the community)</w:t>
      </w:r>
    </w:p>
    <w:p w:rsidR="00000000" w:rsidDel="00000000" w:rsidP="00000000" w:rsidRDefault="00000000" w:rsidRPr="00000000" w14:paraId="00000027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hiring an Outreach Coordinator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trainings for how to go through the applications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Partnering with organizations that can provide an access point (Greenville County Schools, library system, YMCA)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would like to help (such as by distributing promotional material or serving as an access point), contact Nicole, Meredith, Tina, Lorain, or Heather Gatchell at GHA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 coverage: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Greenville Journal - Brick by brick: Greenville’s Affordable Houisng Coalition uses modern tools to meet a growing need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(June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Greenville News - What does it take to afford affordable housing in Greenville?  You might be surprised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(June 30)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Greenville News - The affordable housing planned in Greenville largely ignores those who need it most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(June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Production Report (Lisa Lanni)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Mapping and surveys are giving the group a good understanding of where we are now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been hitting above the 60% AMI mark well (about 1300 units), but need to focus on producing housing for 30-60%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reach the lower AMI brackets?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the word out to developers who aren’t familiar with Greenville’s affordable housing incentives/funding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Newest layer on GAHC map: TGHA housing vouchers 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 needs more submissions to survey to make it more comprehensive/accurate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Preservation Report (Brian Albers)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Single-family home preservation 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Low-interest rehabilitation loan program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Helping people who live on fixed incomes age in place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Exploring programs that are especially for folks in the 80-120% AMI range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people below 80%, we already have established programs in Greenville County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looking at property tax freezes or abatements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Multifamily preservation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Success story: Affordable Upstate and Greenville Housing 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Affordable Upstate went under contract to purchase Parkins Ridge Townhomes in March 2020, then partnered with GHF to help make it more financially feasible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Affordable Upstate helped repair the exteriors of the properties to make it more livable and visually appealing (new siding, dumpster enclosure, mailbox station, lighting, entrance, signage, front doors, parking lot)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Naturally occurring affordable housing (NOAH)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Preventing units from being lost to the market due to increased turnover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Tools Report (Inez Morris, Jerry Blassingame)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Foreclosure Prevention Fund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Arose from discussions about expanding the Homestead exemption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Possibility of being able to help those who are going into foreclosure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Legacy resident programs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identify who is a legacy resident?  How does the legacy designation pass from the original resident to the rest of the family?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 programs and down payment assistance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 programs are a long-term solution to building wealth and financial literacy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been very successful in small-scale, in-house organizations (such as at Soteria), but the larger Greenville County IDA program’s federal funding ran out and the program faded away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Continuing to work with United Way and CommunityWorks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could we get large employers (hospital systems, etc) to commit dollars toward down payment assistance or IDA programs?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Prioritization Survey Results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three: housing stabilization (local rent subsidy), affordable housing incentives in the City, and housing preservation (low interest loan/grant program, tax abatements)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an aggregate scoring system, the eight policies in order of priority is: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Affordable housing incentives from the city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preservation (low interest loan/grant program, tax abatements)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stabilization (local rent subsidy)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Greenville County matching LIHTC dollars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Expanded Homestead exemption/foreclosure prevention fund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Increased resources for affordable homeownership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Landlord registry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Bailey Bill authorization (affordable housing component authorized)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aggregate data will go back to the steering committee and inform decision-making, and it can also inform the plan for the $10 million from the County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ffordableupstate.com/post/renovating-multifamily-exteriors" TargetMode="External"/><Relationship Id="rId10" Type="http://schemas.openxmlformats.org/officeDocument/2006/relationships/hyperlink" Target="https://www.greenvilleonline.com/story/news/local/2021/06/30/affordable-housing-planned-greenville-largely-ignores-lowest-income-earners/7654381002/?utm_source=greenvilleonline-Daily%20Briefing&amp;utm_medium=email&amp;utm_campaign=daily_briefing&amp;utm_term=hero&amp;utm_content=1120GN-E-NLETTER65" TargetMode="External"/><Relationship Id="rId9" Type="http://schemas.openxmlformats.org/officeDocument/2006/relationships/hyperlink" Target="https://www.greenvilleonline.com/story/news/local/2021/06/30/what-takes-actually-afford-affordable-housing-greenville-south-carolina/5148844001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reenvillecounty.org/EmergencyRentalAssistanceProgram.aspx" TargetMode="External"/><Relationship Id="rId8" Type="http://schemas.openxmlformats.org/officeDocument/2006/relationships/hyperlink" Target="https://greenvillejournal.com/news/brick-by-brick-greenvilles-affordable-housing-coalition-uses-modern-tools-to-meet-a-growing-n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