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EE03" w14:textId="77777777" w:rsidR="00FA67BD" w:rsidRPr="004B64F2" w:rsidRDefault="00FA67BD" w:rsidP="004B64F2">
      <w:pPr>
        <w:pStyle w:val="PrimaryOrangeHeader"/>
        <w:suppressAutoHyphens/>
        <w:spacing w:line="240" w:lineRule="auto"/>
        <w:rPr>
          <w:rFonts w:ascii="AvenirNextLTPro-Regular" w:hAnsi="AvenirNextLTPro-Regular"/>
          <w:color w:val="48877A"/>
          <w:sz w:val="34"/>
          <w:szCs w:val="34"/>
        </w:rPr>
      </w:pPr>
      <w:r w:rsidRPr="004B64F2">
        <w:rPr>
          <w:rFonts w:ascii="AvenirNextLTPro-Regular" w:hAnsi="AvenirNextLTPro-Regular" w:cstheme="minorHAnsi"/>
          <w:color w:val="48877A"/>
          <w:sz w:val="32"/>
          <w:szCs w:val="36"/>
        </w:rPr>
        <w:t>Greenville’s Affordable Housing Strategic Plan 2020-2030</w:t>
      </w:r>
    </w:p>
    <w:p w14:paraId="783DBF8E" w14:textId="77777777" w:rsidR="00D53600" w:rsidRDefault="00D53600" w:rsidP="008C129A">
      <w:pPr>
        <w:pStyle w:val="PrimaryOrangeHeader"/>
        <w:suppressAutoHyphens/>
        <w:spacing w:line="240" w:lineRule="auto"/>
        <w:rPr>
          <w:rFonts w:ascii="AvenirNextLTPro-Regular" w:hAnsi="AvenirNextLTPro-Regular"/>
          <w:sz w:val="30"/>
          <w:szCs w:val="30"/>
        </w:rPr>
      </w:pPr>
      <w:r w:rsidRPr="00FF0DA4">
        <w:rPr>
          <w:rFonts w:ascii="AvenirNextLTPro-Regular" w:hAnsi="AvenirNextLTPro-Regular"/>
          <w:sz w:val="30"/>
          <w:szCs w:val="30"/>
        </w:rPr>
        <w:t>Executive Summary</w:t>
      </w:r>
    </w:p>
    <w:p w14:paraId="73EA9BF3" w14:textId="77777777" w:rsidR="00593163" w:rsidRPr="00FF0DA4" w:rsidRDefault="00593163" w:rsidP="004B64F2">
      <w:pPr>
        <w:pStyle w:val="PrimaryOrangeHeader"/>
        <w:suppressAutoHyphens/>
        <w:spacing w:line="240" w:lineRule="auto"/>
        <w:rPr>
          <w:rFonts w:ascii="AvenirNextLTPro-Regular" w:hAnsi="AvenirNextLTPro-Regular"/>
          <w:sz w:val="30"/>
          <w:szCs w:val="30"/>
        </w:rPr>
      </w:pPr>
    </w:p>
    <w:p w14:paraId="0A6DB2BD" w14:textId="77777777" w:rsidR="003324B1" w:rsidRPr="004B64F2" w:rsidRDefault="003324B1" w:rsidP="00E710AD">
      <w:pPr>
        <w:autoSpaceDE w:val="0"/>
        <w:autoSpaceDN w:val="0"/>
        <w:adjustRightInd w:val="0"/>
        <w:spacing w:after="0" w:line="240" w:lineRule="auto"/>
        <w:rPr>
          <w:rFonts w:ascii="AvenirNextLTPro-Regular" w:hAnsi="AvenirNextLTPro-Regular" w:cs="AvenirNextLTPro-Demi"/>
          <w:i/>
          <w:iCs/>
          <w:color w:val="48877A"/>
          <w:sz w:val="26"/>
          <w:szCs w:val="26"/>
        </w:rPr>
      </w:pPr>
      <w:r w:rsidRPr="004B64F2">
        <w:rPr>
          <w:rFonts w:ascii="AvenirNextLTPro-Regular" w:hAnsi="AvenirNextLTPro-Regular" w:cs="AvenirNextLTPro-Demi"/>
          <w:i/>
          <w:iCs/>
          <w:color w:val="48877A"/>
          <w:sz w:val="26"/>
          <w:szCs w:val="26"/>
        </w:rPr>
        <w:t>Introduction</w:t>
      </w:r>
    </w:p>
    <w:p w14:paraId="2D6EC112" w14:textId="77777777" w:rsidR="00B5136F" w:rsidRPr="00FF0DA4" w:rsidRDefault="00B5136F" w:rsidP="004B64F2">
      <w:pPr>
        <w:spacing w:after="0" w:line="240" w:lineRule="auto"/>
        <w:rPr>
          <w:rFonts w:ascii="AvenirNextLTPro-Regular" w:hAnsi="AvenirNextLTPro-Regular"/>
        </w:rPr>
      </w:pPr>
      <w:r w:rsidRPr="00FF0DA4">
        <w:rPr>
          <w:rFonts w:ascii="AvenirNextLTPro-Regular" w:hAnsi="AvenirNextLTPro-Regular"/>
        </w:rPr>
        <w:t>G</w:t>
      </w:r>
      <w:r w:rsidR="0076440F" w:rsidRPr="00FF0DA4">
        <w:rPr>
          <w:rFonts w:ascii="AvenirNextLTPro-Regular" w:hAnsi="AvenirNextLTPro-Regular"/>
        </w:rPr>
        <w:t xml:space="preserve">reenville Housing </w:t>
      </w:r>
      <w:r w:rsidRPr="00FF0DA4">
        <w:rPr>
          <w:rFonts w:ascii="AvenirNextLTPro-Regular" w:hAnsi="AvenirNextLTPro-Regular"/>
        </w:rPr>
        <w:t>F</w:t>
      </w:r>
      <w:r w:rsidR="0076440F" w:rsidRPr="00FF0DA4">
        <w:rPr>
          <w:rFonts w:ascii="AvenirNextLTPro-Regular" w:hAnsi="AvenirNextLTPro-Regular"/>
        </w:rPr>
        <w:t>und (GHF)</w:t>
      </w:r>
      <w:r w:rsidRPr="00FF0DA4">
        <w:rPr>
          <w:rFonts w:ascii="AvenirNextLTPro-Regular" w:hAnsi="AvenirNextLTPro-Regular"/>
        </w:rPr>
        <w:t xml:space="preserve">, together with </w:t>
      </w:r>
      <w:r w:rsidR="0076440F" w:rsidRPr="00FF0DA4">
        <w:rPr>
          <w:rFonts w:ascii="AvenirNextLTPro-Regular" w:hAnsi="AvenirNextLTPro-Regular"/>
        </w:rPr>
        <w:t>Greenville County Redevelopment Authority (</w:t>
      </w:r>
      <w:r w:rsidRPr="00FF0DA4">
        <w:rPr>
          <w:rFonts w:ascii="AvenirNextLTPro-Regular" w:hAnsi="AvenirNextLTPro-Regular"/>
        </w:rPr>
        <w:t>GCRA</w:t>
      </w:r>
      <w:r w:rsidR="0076440F" w:rsidRPr="00FF0DA4">
        <w:rPr>
          <w:rFonts w:ascii="AvenirNextLTPro-Regular" w:hAnsi="AvenirNextLTPro-Regular"/>
        </w:rPr>
        <w:t>)</w:t>
      </w:r>
      <w:r w:rsidRPr="00FF0DA4">
        <w:rPr>
          <w:rFonts w:ascii="AvenirNextLTPro-Regular" w:hAnsi="AvenirNextLTPro-Regular"/>
        </w:rPr>
        <w:t>, in response to the rapidly changing dynamic landscape for housing and its impact on reduced affordability commissioned this study and developing the resulting plan as a path forward to guide the entire community towards the most responsible and accountable way to not only increase supply of affordable units, but enhance the connection for our fellow citizens in need of housing that suites their income to affordable housing.</w:t>
      </w:r>
    </w:p>
    <w:p w14:paraId="0CF1A32A" w14:textId="77777777" w:rsidR="003324B1" w:rsidRPr="004B64F2" w:rsidRDefault="006E2590" w:rsidP="00E710AD">
      <w:pPr>
        <w:autoSpaceDE w:val="0"/>
        <w:autoSpaceDN w:val="0"/>
        <w:adjustRightInd w:val="0"/>
        <w:spacing w:after="0" w:line="240" w:lineRule="auto"/>
        <w:rPr>
          <w:rFonts w:ascii="AvenirNextLTPro-Regular" w:hAnsi="AvenirNextLTPro-Regular" w:cs="AvenirNextLTPro-Demi"/>
          <w:i/>
          <w:iCs/>
          <w:color w:val="48877A"/>
          <w:sz w:val="26"/>
          <w:szCs w:val="26"/>
        </w:rPr>
      </w:pPr>
      <w:r w:rsidRPr="004B64F2">
        <w:rPr>
          <w:rFonts w:ascii="AvenirNextLTPro-Regular" w:hAnsi="AvenirNextLTPro-Regular" w:cs="AvenirNextLTPro-Demi"/>
          <w:i/>
          <w:iCs/>
          <w:color w:val="48877A"/>
          <w:sz w:val="26"/>
          <w:szCs w:val="26"/>
        </w:rPr>
        <w:t xml:space="preserve">Affordable Housing Strategic </w:t>
      </w:r>
      <w:r w:rsidR="003324B1" w:rsidRPr="004B64F2">
        <w:rPr>
          <w:rFonts w:ascii="AvenirNextLTPro-Regular" w:hAnsi="AvenirNextLTPro-Regular" w:cs="AvenirNextLTPro-Demi"/>
          <w:i/>
          <w:iCs/>
          <w:color w:val="48877A"/>
          <w:sz w:val="26"/>
          <w:szCs w:val="26"/>
        </w:rPr>
        <w:t>Plan</w:t>
      </w:r>
    </w:p>
    <w:p w14:paraId="2D0D2AA5" w14:textId="77777777" w:rsidR="00D53600" w:rsidRPr="00FF0DA4" w:rsidRDefault="00D53600">
      <w:pPr>
        <w:autoSpaceDE w:val="0"/>
        <w:autoSpaceDN w:val="0"/>
        <w:adjustRightInd w:val="0"/>
        <w:spacing w:after="0" w:line="240" w:lineRule="auto"/>
        <w:rPr>
          <w:rFonts w:ascii="AvenirNextLTPro-Regular" w:hAnsi="AvenirNextLTPro-Regular" w:cs="AvenirNextLTPro-Regular"/>
        </w:rPr>
      </w:pPr>
      <w:r w:rsidRPr="00FF0DA4">
        <w:rPr>
          <w:rFonts w:ascii="AvenirNextLTPro-Regular" w:hAnsi="AvenirNextLTPro-Regular" w:cs="AvenirNextLTPro-Regular"/>
        </w:rPr>
        <w:t>Affordable housing has been on Greenville’s radar for several years. Both the County and the City have focused their attention on monitoring the scope and impact of local affordable housing issues. When</w:t>
      </w:r>
    </w:p>
    <w:p w14:paraId="6D29D21B" w14:textId="77777777" w:rsidR="00D53600" w:rsidRDefault="00D53600">
      <w:pPr>
        <w:autoSpaceDE w:val="0"/>
        <w:autoSpaceDN w:val="0"/>
        <w:adjustRightInd w:val="0"/>
        <w:spacing w:after="0" w:line="240" w:lineRule="auto"/>
        <w:rPr>
          <w:rFonts w:ascii="AvenirNextLTPro-Regular" w:hAnsi="AvenirNextLTPro-Regular" w:cs="AvenirNextLTPro-Regular"/>
        </w:rPr>
      </w:pPr>
      <w:r w:rsidRPr="00FF0DA4">
        <w:rPr>
          <w:rFonts w:ascii="AvenirNextLTPro-Regular" w:hAnsi="AvenirNextLTPro-Regular" w:cs="AvenirNextLTPro-Regular"/>
        </w:rPr>
        <w:t xml:space="preserve">compared to other parts of South Carolina (e.g. Charleston, Hilton Head) and the country, Greenville’s housing was viewed as reasonably priced from 2000-2010 when the area experienced modest housing growth. As Greenville’s population growth rate increased, local affordability issues became more pronounced. The City was rapidly </w:t>
      </w:r>
      <w:r w:rsidR="0076440F" w:rsidRPr="00FF0DA4">
        <w:rPr>
          <w:rFonts w:ascii="AvenirNextLTPro-Regular" w:hAnsi="AvenirNextLTPro-Regular" w:cs="AvenirNextLTPro-Regular"/>
        </w:rPr>
        <w:t>growing,</w:t>
      </w:r>
      <w:r w:rsidRPr="00FF0DA4">
        <w:rPr>
          <w:rFonts w:ascii="AvenirNextLTPro-Regular" w:hAnsi="AvenirNextLTPro-Regular" w:cs="AvenirNextLTPro-Regular"/>
        </w:rPr>
        <w:t xml:space="preserve"> and the County continued to grow at a healthy rate. The growth brought many benefits:</w:t>
      </w:r>
    </w:p>
    <w:p w14:paraId="786E51A9" w14:textId="77777777" w:rsidR="00194FB4" w:rsidRPr="00FF0DA4" w:rsidRDefault="00194FB4">
      <w:pPr>
        <w:autoSpaceDE w:val="0"/>
        <w:autoSpaceDN w:val="0"/>
        <w:adjustRightInd w:val="0"/>
        <w:spacing w:after="0" w:line="240" w:lineRule="auto"/>
        <w:rPr>
          <w:rFonts w:ascii="AvenirNextLTPro-Regular" w:hAnsi="AvenirNextLTPro-Regular" w:cs="AvenirNextLTPro-Regular"/>
        </w:rPr>
      </w:pPr>
    </w:p>
    <w:p w14:paraId="3B3FCA57" w14:textId="77777777" w:rsidR="00D53600" w:rsidRPr="00FF0DA4" w:rsidRDefault="00194FB4">
      <w:pPr>
        <w:pStyle w:val="ListParagraph"/>
        <w:numPr>
          <w:ilvl w:val="0"/>
          <w:numId w:val="3"/>
        </w:numPr>
        <w:autoSpaceDE w:val="0"/>
        <w:autoSpaceDN w:val="0"/>
        <w:adjustRightInd w:val="0"/>
        <w:spacing w:after="0" w:line="240" w:lineRule="auto"/>
        <w:rPr>
          <w:rFonts w:ascii="AvenirNextLTPro-Regular" w:hAnsi="AvenirNextLTPro-Regular" w:cs="AvenirNextLTPro-Regular"/>
        </w:rPr>
      </w:pPr>
      <w:r>
        <w:rPr>
          <w:rFonts w:ascii="AvenirNextLTPro-Regular" w:hAnsi="AvenirNextLTPro-Regular" w:cs="AvenirNextLTPro-Regular"/>
        </w:rPr>
        <w:t>N</w:t>
      </w:r>
      <w:r w:rsidR="00D53600" w:rsidRPr="00FF0DA4">
        <w:rPr>
          <w:rFonts w:ascii="AvenirNextLTPro-Regular" w:hAnsi="AvenirNextLTPro-Regular" w:cs="AvenirNextLTPro-Regular"/>
        </w:rPr>
        <w:t xml:space="preserve">ew housing developments helped to diversify housing </w:t>
      </w:r>
      <w:r w:rsidR="0076440F" w:rsidRPr="00FF0DA4">
        <w:rPr>
          <w:rFonts w:ascii="AvenirNextLTPro-Regular" w:hAnsi="AvenirNextLTPro-Regular" w:cs="AvenirNextLTPro-Regular"/>
        </w:rPr>
        <w:t>choice</w:t>
      </w:r>
    </w:p>
    <w:p w14:paraId="19422E85" w14:textId="77777777" w:rsidR="00D53600" w:rsidRPr="00FF0DA4" w:rsidRDefault="00194FB4">
      <w:pPr>
        <w:pStyle w:val="ListParagraph"/>
        <w:numPr>
          <w:ilvl w:val="0"/>
          <w:numId w:val="3"/>
        </w:numPr>
        <w:autoSpaceDE w:val="0"/>
        <w:autoSpaceDN w:val="0"/>
        <w:adjustRightInd w:val="0"/>
        <w:spacing w:after="0" w:line="240" w:lineRule="auto"/>
        <w:rPr>
          <w:rFonts w:ascii="AvenirNextLTPro-Regular" w:hAnsi="AvenirNextLTPro-Regular" w:cs="AvenirNextLTPro-Regular"/>
        </w:rPr>
      </w:pPr>
      <w:r>
        <w:rPr>
          <w:rFonts w:ascii="AvenirNextLTPro-Regular" w:hAnsi="AvenirNextLTPro-Regular" w:cs="AvenirNextLTPro-Regular"/>
        </w:rPr>
        <w:t>S</w:t>
      </w:r>
      <w:r w:rsidR="00D53600" w:rsidRPr="00FF0DA4">
        <w:rPr>
          <w:rFonts w:ascii="AvenirNextLTPro-Regular" w:hAnsi="AvenirNextLTPro-Regular" w:cs="AvenirNextLTPro-Regular"/>
        </w:rPr>
        <w:t>ignificant business investment and job growth; and</w:t>
      </w:r>
    </w:p>
    <w:p w14:paraId="1AFF5FAA" w14:textId="77777777" w:rsidR="00D53600" w:rsidRPr="00FF0DA4" w:rsidRDefault="00194FB4">
      <w:pPr>
        <w:pStyle w:val="ListParagraph"/>
        <w:numPr>
          <w:ilvl w:val="0"/>
          <w:numId w:val="3"/>
        </w:numPr>
        <w:autoSpaceDE w:val="0"/>
        <w:autoSpaceDN w:val="0"/>
        <w:adjustRightInd w:val="0"/>
        <w:spacing w:after="0" w:line="240" w:lineRule="auto"/>
        <w:rPr>
          <w:rFonts w:ascii="AvenirNextLTPro-Regular" w:hAnsi="AvenirNextLTPro-Regular" w:cs="AvenirNextLTPro-Regular"/>
        </w:rPr>
      </w:pPr>
      <w:r>
        <w:rPr>
          <w:rFonts w:ascii="AvenirNextLTPro-Regular" w:hAnsi="AvenirNextLTPro-Regular" w:cs="AvenirNextLTPro-Regular"/>
        </w:rPr>
        <w:t>Q</w:t>
      </w:r>
      <w:r w:rsidR="00D53600" w:rsidRPr="00FF0DA4">
        <w:rPr>
          <w:rFonts w:ascii="AvenirNextLTPro-Regular" w:hAnsi="AvenirNextLTPro-Regular" w:cs="AvenirNextLTPro-Regular"/>
        </w:rPr>
        <w:t>uality place-making replete with a broad spectrum of cultural, recreational, and natural amenities</w:t>
      </w:r>
    </w:p>
    <w:p w14:paraId="5205AAD7" w14:textId="77777777" w:rsidR="00D53600" w:rsidRPr="00FF0DA4" w:rsidRDefault="00D53600">
      <w:pPr>
        <w:autoSpaceDE w:val="0"/>
        <w:autoSpaceDN w:val="0"/>
        <w:adjustRightInd w:val="0"/>
        <w:spacing w:after="0" w:line="240" w:lineRule="auto"/>
        <w:rPr>
          <w:rFonts w:ascii="AvenirNextLTPro-Regular" w:hAnsi="AvenirNextLTPro-Regular" w:cs="AvenirNextLTPro-Regular"/>
        </w:rPr>
      </w:pPr>
    </w:p>
    <w:p w14:paraId="3E77C8C8" w14:textId="77777777" w:rsidR="00D53600" w:rsidRPr="00FF0DA4" w:rsidRDefault="00D53600">
      <w:pPr>
        <w:autoSpaceDE w:val="0"/>
        <w:autoSpaceDN w:val="0"/>
        <w:adjustRightInd w:val="0"/>
        <w:spacing w:after="0" w:line="240" w:lineRule="auto"/>
        <w:rPr>
          <w:rFonts w:ascii="AvenirNextLTPro-Regular" w:hAnsi="AvenirNextLTPro-Regular" w:cs="AvenirNextLTPro-Regular"/>
        </w:rPr>
      </w:pPr>
      <w:r w:rsidRPr="00FF0DA4">
        <w:rPr>
          <w:rFonts w:ascii="AvenirNextLTPro-Regular" w:hAnsi="AvenirNextLTPro-Regular" w:cs="AvenirNextLTPro-Regular"/>
        </w:rPr>
        <w:t xml:space="preserve">Greenville became one of the most desirable places to live and do business in the Southeast and in the nation. </w:t>
      </w:r>
      <w:r w:rsidRPr="00FF0DA4">
        <w:rPr>
          <w:rFonts w:ascii="AvenirNextLTPro-Regular" w:hAnsi="AvenirNextLTPro-Regular" w:cs="AvenirNext LT Pro Regular"/>
        </w:rPr>
        <w:t xml:space="preserve">Greenville is projected to add 35,000 new households from 2018-2029. Much of this growth will occur in the upper income ranges ($75,000 +). </w:t>
      </w:r>
      <w:r w:rsidR="008364B4" w:rsidRPr="00FF0DA4">
        <w:rPr>
          <w:rFonts w:ascii="AvenirNextLTPro-Regular" w:hAnsi="AvenirNextLTPro-Regular" w:cs="AvenirNext LT Pro Regular"/>
        </w:rPr>
        <w:t>However, t</w:t>
      </w:r>
      <w:r w:rsidRPr="00FF0DA4">
        <w:rPr>
          <w:rFonts w:ascii="AvenirNextLTPro-Regular" w:hAnsi="AvenirNextLTPro-Regular" w:cs="AvenirNext LT Pro Regular"/>
        </w:rPr>
        <w:t xml:space="preserve">en-year residential permit data for the City and County indicate that supply is not keeping up with new demand, let alone existing demand with evolving needs due to changes in family and age. </w:t>
      </w:r>
      <w:r w:rsidRPr="00FF0DA4">
        <w:rPr>
          <w:rFonts w:ascii="AvenirNextLTPro-Regular" w:hAnsi="AvenirNextLTPro-Regular" w:cs="AvenirNext LT Pro Regular"/>
        </w:rPr>
        <w:br/>
      </w:r>
    </w:p>
    <w:p w14:paraId="145E6FDC" w14:textId="77777777" w:rsidR="00D53600" w:rsidRPr="00FF0DA4" w:rsidRDefault="00D53600" w:rsidP="004B64F2">
      <w:pPr>
        <w:pStyle w:val="BasicParagraph"/>
        <w:suppressAutoHyphens/>
        <w:spacing w:line="240" w:lineRule="auto"/>
        <w:rPr>
          <w:rFonts w:ascii="AvenirNextLTPro-Regular" w:hAnsi="AvenirNextLTPro-Regular" w:cs="AvenirNext LT Pro Regular"/>
          <w:sz w:val="22"/>
          <w:szCs w:val="22"/>
        </w:rPr>
      </w:pPr>
      <w:r w:rsidRPr="00FF0DA4">
        <w:rPr>
          <w:rFonts w:ascii="AvenirNextLTPro-Regular" w:hAnsi="AvenirNextLTPro-Regular" w:cs="AvenirNext LT Pro Regular"/>
          <w:sz w:val="22"/>
          <w:szCs w:val="22"/>
        </w:rPr>
        <w:t xml:space="preserve">Two indicators that bear out Greenville’s growing </w:t>
      </w:r>
      <w:r w:rsidR="00441B85" w:rsidRPr="00FF0DA4">
        <w:rPr>
          <w:rFonts w:ascii="AvenirNextLTPro-Regular" w:hAnsi="AvenirNextLTPro-Regular" w:cs="AvenirNext LT Pro Regular"/>
          <w:sz w:val="22"/>
          <w:szCs w:val="22"/>
        </w:rPr>
        <w:t>housing disparity</w:t>
      </w:r>
      <w:r w:rsidR="00B11D7F" w:rsidRPr="00FF0DA4">
        <w:rPr>
          <w:rFonts w:ascii="AvenirNextLTPro-Regular" w:hAnsi="AvenirNextLTPro-Regular" w:cs="AvenirNext LT Pro Regular"/>
          <w:sz w:val="22"/>
          <w:szCs w:val="22"/>
        </w:rPr>
        <w:t xml:space="preserve"> </w:t>
      </w:r>
      <w:r w:rsidRPr="00FF0DA4">
        <w:rPr>
          <w:rFonts w:ascii="AvenirNextLTPro-Regular" w:hAnsi="AvenirNextLTPro-Regular" w:cs="AvenirNext LT Pro Regular"/>
          <w:sz w:val="22"/>
          <w:szCs w:val="22"/>
        </w:rPr>
        <w:t>are:</w:t>
      </w:r>
    </w:p>
    <w:p w14:paraId="05F5FE2D" w14:textId="77777777" w:rsidR="00D53600" w:rsidRPr="00FF0DA4" w:rsidRDefault="00D53600" w:rsidP="004B64F2">
      <w:pPr>
        <w:pStyle w:val="BasicParagraph"/>
        <w:numPr>
          <w:ilvl w:val="0"/>
          <w:numId w:val="22"/>
        </w:numPr>
        <w:suppressAutoHyphens/>
        <w:spacing w:line="240" w:lineRule="auto"/>
        <w:rPr>
          <w:rFonts w:ascii="AvenirNextLTPro-Regular" w:hAnsi="AvenirNextLTPro-Regular" w:cs="AvenirNext LT Pro Regular"/>
          <w:sz w:val="22"/>
          <w:szCs w:val="22"/>
        </w:rPr>
      </w:pPr>
      <w:r w:rsidRPr="00FF0DA4">
        <w:rPr>
          <w:rFonts w:ascii="AvenirNextLTPro-Regular" w:hAnsi="AvenirNextLTPro-Regular" w:cs="AvenirNext LT Pro Regular"/>
          <w:sz w:val="22"/>
          <w:szCs w:val="22"/>
        </w:rPr>
        <w:t xml:space="preserve">There has been a steady decrease in for-sale housing inventory since 2013, and </w:t>
      </w:r>
    </w:p>
    <w:p w14:paraId="4924C11D" w14:textId="77777777" w:rsidR="00D53600" w:rsidRPr="00FF0DA4" w:rsidRDefault="00D53600" w:rsidP="004B64F2">
      <w:pPr>
        <w:pStyle w:val="BasicParagraph"/>
        <w:numPr>
          <w:ilvl w:val="0"/>
          <w:numId w:val="22"/>
        </w:numPr>
        <w:suppressAutoHyphens/>
        <w:spacing w:line="240" w:lineRule="auto"/>
        <w:rPr>
          <w:rFonts w:ascii="AvenirNextLTPro-Regular" w:hAnsi="AvenirNextLTPro-Regular" w:cs="AvenirNext LT Pro Regular"/>
          <w:sz w:val="22"/>
          <w:szCs w:val="22"/>
        </w:rPr>
      </w:pPr>
      <w:r w:rsidRPr="00FF0DA4">
        <w:rPr>
          <w:rFonts w:ascii="AvenirNextLTPro-Regular" w:hAnsi="AvenirNextLTPro-Regular" w:cs="AvenirNext LT Pro Regular"/>
          <w:sz w:val="22"/>
          <w:szCs w:val="22"/>
        </w:rPr>
        <w:t>The length of resident tenure in both ownership and rental units is significantly longer than the national averages, indicating a reluctance or difficulty in finding suitable alternative housing</w:t>
      </w:r>
    </w:p>
    <w:p w14:paraId="22115B4A" w14:textId="77777777" w:rsidR="00684EC9" w:rsidRPr="00FF0DA4" w:rsidRDefault="00684EC9" w:rsidP="004B64F2">
      <w:pPr>
        <w:pStyle w:val="PrimaryOrangeHeader"/>
        <w:suppressAutoHyphens/>
        <w:spacing w:line="240" w:lineRule="auto"/>
        <w:rPr>
          <w:rFonts w:ascii="AvenirNextLTPro-Regular" w:eastAsia="Calibri" w:hAnsi="AvenirNextLTPro-Regular" w:cs="Times New Roman"/>
          <w:color w:val="auto"/>
          <w:sz w:val="22"/>
          <w:szCs w:val="22"/>
        </w:rPr>
      </w:pPr>
    </w:p>
    <w:p w14:paraId="0EE7F2FD" w14:textId="77777777" w:rsidR="00D53600" w:rsidRPr="00FF0DA4" w:rsidRDefault="00684EC9" w:rsidP="004B64F2">
      <w:pPr>
        <w:pStyle w:val="PrimaryOrangeHeader"/>
        <w:suppressAutoHyphens/>
        <w:spacing w:line="240" w:lineRule="auto"/>
        <w:rPr>
          <w:rFonts w:ascii="AvenirNextLTPro-Regular" w:eastAsia="Calibri" w:hAnsi="AvenirNextLTPro-Regular" w:cs="Times New Roman"/>
          <w:color w:val="auto"/>
          <w:sz w:val="22"/>
          <w:szCs w:val="22"/>
        </w:rPr>
      </w:pPr>
      <w:r w:rsidRPr="00FF0DA4">
        <w:rPr>
          <w:rFonts w:ascii="AvenirNextLTPro-Regular" w:eastAsia="Calibri" w:hAnsi="AvenirNextLTPro-Regular" w:cs="Times New Roman"/>
          <w:color w:val="auto"/>
          <w:sz w:val="22"/>
          <w:szCs w:val="22"/>
        </w:rPr>
        <w:t>The City and County represent distinct housing markets. First, the sizes significantly differ</w:t>
      </w:r>
      <w:r w:rsidR="004C3198">
        <w:rPr>
          <w:rFonts w:ascii="AvenirNextLTPro-Regular" w:eastAsia="Calibri" w:hAnsi="AvenirNextLTPro-Regular" w:cs="Times New Roman"/>
          <w:color w:val="auto"/>
          <w:sz w:val="22"/>
          <w:szCs w:val="22"/>
        </w:rPr>
        <w:t>,</w:t>
      </w:r>
      <w:r w:rsidRPr="00FF0DA4">
        <w:rPr>
          <w:rFonts w:ascii="AvenirNextLTPro-Regular" w:eastAsia="Calibri" w:hAnsi="AvenirNextLTPro-Regular" w:cs="Times New Roman"/>
          <w:color w:val="auto"/>
          <w:sz w:val="22"/>
          <w:szCs w:val="22"/>
        </w:rPr>
        <w:t xml:space="preserve"> with approximately 163,800 households in the County and 28,700 in the City. Demand in the County is more likely family-driven while the City has higher non-family demand, although both markets have notable demand in both household types. This is reinforced by the fact that builders are more focused on delivering </w:t>
      </w:r>
      <w:r w:rsidR="00E73A95">
        <w:rPr>
          <w:rFonts w:ascii="AvenirNextLTPro-Regular" w:eastAsia="Calibri" w:hAnsi="AvenirNextLTPro-Regular" w:cs="Times New Roman"/>
          <w:color w:val="auto"/>
          <w:sz w:val="22"/>
          <w:szCs w:val="22"/>
        </w:rPr>
        <w:t>S</w:t>
      </w:r>
      <w:r w:rsidR="00A7718F" w:rsidRPr="00FF0DA4">
        <w:rPr>
          <w:rFonts w:ascii="AvenirNextLTPro-Regular" w:eastAsia="Calibri" w:hAnsi="AvenirNextLTPro-Regular" w:cs="Times New Roman"/>
          <w:color w:val="auto"/>
          <w:sz w:val="22"/>
          <w:szCs w:val="22"/>
        </w:rPr>
        <w:t>ingle F</w:t>
      </w:r>
      <w:r w:rsidRPr="00FF0DA4">
        <w:rPr>
          <w:rFonts w:ascii="AvenirNextLTPro-Regular" w:eastAsia="Calibri" w:hAnsi="AvenirNextLTPro-Regular" w:cs="Times New Roman"/>
          <w:color w:val="auto"/>
          <w:sz w:val="22"/>
          <w:szCs w:val="22"/>
        </w:rPr>
        <w:t>amily</w:t>
      </w:r>
      <w:r w:rsidR="00E73A95">
        <w:rPr>
          <w:rFonts w:ascii="AvenirNextLTPro-Regular" w:eastAsia="Calibri" w:hAnsi="AvenirNextLTPro-Regular" w:cs="Times New Roman"/>
          <w:color w:val="auto"/>
          <w:sz w:val="22"/>
          <w:szCs w:val="22"/>
        </w:rPr>
        <w:t xml:space="preserve"> Residential (</w:t>
      </w:r>
      <w:r w:rsidR="00A7718F">
        <w:rPr>
          <w:rFonts w:ascii="AvenirNextLTPro-Regular" w:eastAsia="Calibri" w:hAnsi="AvenirNextLTPro-Regular" w:cs="Times New Roman"/>
          <w:color w:val="auto"/>
          <w:sz w:val="22"/>
          <w:szCs w:val="22"/>
        </w:rPr>
        <w:t>SFR)</w:t>
      </w:r>
      <w:r w:rsidRPr="00FF0DA4">
        <w:rPr>
          <w:rFonts w:ascii="AvenirNextLTPro-Regular" w:eastAsia="Calibri" w:hAnsi="AvenirNextLTPro-Regular" w:cs="Times New Roman"/>
          <w:color w:val="auto"/>
          <w:sz w:val="22"/>
          <w:szCs w:val="22"/>
        </w:rPr>
        <w:t xml:space="preserve"> housing product in the County, averaging 1,928 permits pulled annually over the past 3 years (2017-2019). In contrast, the City averaged 646 </w:t>
      </w:r>
      <w:r w:rsidR="00A7718F">
        <w:rPr>
          <w:rFonts w:ascii="AvenirNextLTPro-Regular" w:eastAsia="Calibri" w:hAnsi="AvenirNextLTPro-Regular" w:cs="Times New Roman"/>
          <w:color w:val="auto"/>
          <w:sz w:val="22"/>
          <w:szCs w:val="22"/>
        </w:rPr>
        <w:t>SFR permits</w:t>
      </w:r>
      <w:r w:rsidRPr="00FF0DA4">
        <w:rPr>
          <w:rFonts w:ascii="AvenirNextLTPro-Regular" w:eastAsia="Calibri" w:hAnsi="AvenirNextLTPro-Regular" w:cs="Times New Roman"/>
          <w:color w:val="auto"/>
          <w:sz w:val="22"/>
          <w:szCs w:val="22"/>
        </w:rPr>
        <w:t xml:space="preserve"> and 123 </w:t>
      </w:r>
      <w:r w:rsidR="00194FB4">
        <w:rPr>
          <w:rFonts w:ascii="AvenirNextLTPro-Regular" w:eastAsia="Calibri" w:hAnsi="AvenirNextLTPro-Regular" w:cs="Times New Roman"/>
          <w:color w:val="auto"/>
          <w:sz w:val="22"/>
          <w:szCs w:val="22"/>
        </w:rPr>
        <w:t>M</w:t>
      </w:r>
      <w:r w:rsidRPr="00FF0DA4">
        <w:rPr>
          <w:rFonts w:ascii="AvenirNextLTPro-Regular" w:eastAsia="Calibri" w:hAnsi="AvenirNextLTPro-Regular" w:cs="Times New Roman"/>
          <w:color w:val="auto"/>
          <w:sz w:val="22"/>
          <w:szCs w:val="22"/>
        </w:rPr>
        <w:t>ulti-</w:t>
      </w:r>
      <w:r w:rsidR="00194FB4">
        <w:rPr>
          <w:rFonts w:ascii="AvenirNextLTPro-Regular" w:eastAsia="Calibri" w:hAnsi="AvenirNextLTPro-Regular" w:cs="Times New Roman"/>
          <w:color w:val="auto"/>
          <w:sz w:val="22"/>
          <w:szCs w:val="22"/>
        </w:rPr>
        <w:t>F</w:t>
      </w:r>
      <w:r w:rsidRPr="00FF0DA4">
        <w:rPr>
          <w:rFonts w:ascii="AvenirNextLTPro-Regular" w:eastAsia="Calibri" w:hAnsi="AvenirNextLTPro-Regular" w:cs="Times New Roman"/>
          <w:color w:val="auto"/>
          <w:sz w:val="22"/>
          <w:szCs w:val="22"/>
        </w:rPr>
        <w:t xml:space="preserve">amily </w:t>
      </w:r>
      <w:r w:rsidR="00194FB4">
        <w:rPr>
          <w:rFonts w:ascii="AvenirNextLTPro-Regular" w:eastAsia="Calibri" w:hAnsi="AvenirNextLTPro-Regular" w:cs="Times New Roman"/>
          <w:color w:val="auto"/>
          <w:sz w:val="22"/>
          <w:szCs w:val="22"/>
        </w:rPr>
        <w:t xml:space="preserve">Residential (MFR) </w:t>
      </w:r>
      <w:r w:rsidRPr="00FF0DA4">
        <w:rPr>
          <w:rFonts w:ascii="AvenirNextLTPro-Regular" w:eastAsia="Calibri" w:hAnsi="AvenirNextLTPro-Regular" w:cs="Times New Roman"/>
          <w:color w:val="auto"/>
          <w:sz w:val="22"/>
          <w:szCs w:val="22"/>
        </w:rPr>
        <w:t xml:space="preserve">permits annually during this same time. The County is weighted heavily towards </w:t>
      </w:r>
      <w:r w:rsidR="00A7718F">
        <w:rPr>
          <w:rFonts w:ascii="AvenirNextLTPro-Regular" w:eastAsia="Calibri" w:hAnsi="AvenirNextLTPro-Regular" w:cs="Times New Roman"/>
          <w:color w:val="auto"/>
          <w:sz w:val="22"/>
          <w:szCs w:val="22"/>
        </w:rPr>
        <w:t>SFR</w:t>
      </w:r>
      <w:r w:rsidRPr="00FF0DA4">
        <w:rPr>
          <w:rFonts w:ascii="AvenirNextLTPro-Regular" w:eastAsia="Calibri" w:hAnsi="AvenirNextLTPro-Regular" w:cs="Times New Roman"/>
          <w:color w:val="auto"/>
          <w:sz w:val="22"/>
          <w:szCs w:val="22"/>
        </w:rPr>
        <w:t xml:space="preserve"> units while the City is oriented towards </w:t>
      </w:r>
      <w:r w:rsidR="00194FB4">
        <w:rPr>
          <w:rFonts w:ascii="AvenirNextLTPro-Regular" w:eastAsia="Calibri" w:hAnsi="AvenirNextLTPro-Regular" w:cs="Times New Roman"/>
          <w:color w:val="auto"/>
          <w:sz w:val="22"/>
          <w:szCs w:val="22"/>
        </w:rPr>
        <w:t>MFR</w:t>
      </w:r>
      <w:r w:rsidRPr="00FF0DA4">
        <w:rPr>
          <w:rFonts w:ascii="AvenirNextLTPro-Regular" w:eastAsia="Calibri" w:hAnsi="AvenirNextLTPro-Regular" w:cs="Times New Roman"/>
          <w:color w:val="auto"/>
          <w:sz w:val="22"/>
          <w:szCs w:val="22"/>
        </w:rPr>
        <w:t xml:space="preserve"> units with smaller household sizes.</w:t>
      </w:r>
    </w:p>
    <w:p w14:paraId="736183DD" w14:textId="77777777" w:rsidR="008C129A" w:rsidRDefault="008C129A" w:rsidP="008C129A">
      <w:pPr>
        <w:pStyle w:val="PrimaryOrangeHeader"/>
        <w:suppressAutoHyphens/>
        <w:spacing w:line="240" w:lineRule="auto"/>
        <w:rPr>
          <w:rFonts w:ascii="AvenirNextLTPro-Regular" w:eastAsia="Calibri" w:hAnsi="AvenirNextLTPro-Regular" w:cs="Times New Roman"/>
          <w:i/>
          <w:iCs/>
          <w:color w:val="48877A"/>
          <w:sz w:val="26"/>
          <w:szCs w:val="26"/>
        </w:rPr>
      </w:pPr>
    </w:p>
    <w:p w14:paraId="7F0C98B6" w14:textId="77777777" w:rsidR="008C129A" w:rsidRDefault="008C129A" w:rsidP="008C129A">
      <w:pPr>
        <w:pStyle w:val="PrimaryOrangeHeader"/>
        <w:suppressAutoHyphens/>
        <w:spacing w:line="240" w:lineRule="auto"/>
        <w:rPr>
          <w:rFonts w:ascii="AvenirNextLTPro-Regular" w:eastAsia="Calibri" w:hAnsi="AvenirNextLTPro-Regular" w:cs="Times New Roman"/>
          <w:i/>
          <w:iCs/>
          <w:color w:val="48877A"/>
          <w:sz w:val="26"/>
          <w:szCs w:val="26"/>
        </w:rPr>
      </w:pPr>
    </w:p>
    <w:p w14:paraId="214B7FD2" w14:textId="77777777" w:rsidR="008C129A" w:rsidRDefault="008C129A" w:rsidP="008C129A">
      <w:pPr>
        <w:pStyle w:val="PrimaryOrangeHeader"/>
        <w:suppressAutoHyphens/>
        <w:spacing w:line="240" w:lineRule="auto"/>
        <w:rPr>
          <w:rFonts w:ascii="AvenirNextLTPro-Regular" w:eastAsia="Calibri" w:hAnsi="AvenirNextLTPro-Regular" w:cs="Times New Roman"/>
          <w:i/>
          <w:iCs/>
          <w:color w:val="48877A"/>
          <w:sz w:val="26"/>
          <w:szCs w:val="26"/>
        </w:rPr>
      </w:pPr>
    </w:p>
    <w:p w14:paraId="68735EF2" w14:textId="77777777" w:rsidR="00FA67BD" w:rsidRPr="00FF0DA4" w:rsidRDefault="00EE743F" w:rsidP="004B64F2">
      <w:pPr>
        <w:pStyle w:val="PrimaryOrangeHeader"/>
        <w:suppressAutoHyphens/>
        <w:spacing w:line="240" w:lineRule="auto"/>
        <w:rPr>
          <w:rFonts w:ascii="AvenirNextLTPro-Regular" w:eastAsia="Calibri" w:hAnsi="AvenirNextLTPro-Regular" w:cs="Times New Roman"/>
          <w:color w:val="auto"/>
          <w:sz w:val="22"/>
          <w:szCs w:val="22"/>
        </w:rPr>
      </w:pPr>
      <w:r w:rsidRPr="004B64F2">
        <w:rPr>
          <w:rFonts w:ascii="AvenirNextLTPro-Regular" w:eastAsia="Calibri" w:hAnsi="AvenirNextLTPro-Regular" w:cs="Times New Roman"/>
          <w:i/>
          <w:iCs/>
          <w:color w:val="48877A"/>
          <w:sz w:val="26"/>
          <w:szCs w:val="26"/>
        </w:rPr>
        <w:lastRenderedPageBreak/>
        <w:t>Takeaways</w:t>
      </w:r>
    </w:p>
    <w:p w14:paraId="2D0E6AF1" w14:textId="77777777" w:rsidR="00684EC9" w:rsidRPr="00FF0DA4" w:rsidRDefault="00684EC9" w:rsidP="004B64F2">
      <w:pPr>
        <w:pStyle w:val="BasicParagraph0"/>
        <w:suppressAutoHyphens/>
        <w:spacing w:line="240" w:lineRule="auto"/>
        <w:rPr>
          <w:rFonts w:ascii="AvenirNextLTPro-Regular" w:hAnsi="AvenirNextLTPro-Regular"/>
        </w:rPr>
      </w:pPr>
      <w:r w:rsidRPr="00FF0DA4">
        <w:rPr>
          <w:rFonts w:ascii="AvenirNextLTPro-Regular" w:hAnsi="AvenirNextLTPro-Regular"/>
        </w:rPr>
        <w:t xml:space="preserve">During this study, it was mentioned by local stakeholders that the affordable housing issue is primarily a City concern, </w:t>
      </w:r>
      <w:r w:rsidR="002C04C2" w:rsidRPr="00FF0DA4">
        <w:rPr>
          <w:rFonts w:ascii="AvenirNextLTPro-Regular" w:hAnsi="AvenirNextLTPro-Regular"/>
        </w:rPr>
        <w:t>and not</w:t>
      </w:r>
      <w:r w:rsidRPr="00FF0DA4">
        <w:rPr>
          <w:rFonts w:ascii="AvenirNextLTPro-Regular" w:hAnsi="AvenirNextLTPro-Regular"/>
        </w:rPr>
        <w:t xml:space="preserve"> significant in the County. The data does not bear this out. Both jurisdictions have several low-income census tracts. The County’s low-income census tracts have 18,139 households that are cost-burdened compared to 5,880 respectively in the City. Affordable housing is both a City and County concern. In real numbers and logistically, the issue is somewhat more</w:t>
      </w:r>
      <w:r w:rsidR="001278D4" w:rsidRPr="00FF0DA4">
        <w:rPr>
          <w:rFonts w:ascii="AvenirNextLTPro-Regular" w:hAnsi="AvenirNextLTPro-Regular"/>
        </w:rPr>
        <w:t xml:space="preserve"> </w:t>
      </w:r>
      <w:r w:rsidRPr="00FF0DA4">
        <w:rPr>
          <w:rFonts w:ascii="AvenirNextLTPro-Regular" w:hAnsi="AvenirNextLTPro-Regular"/>
        </w:rPr>
        <w:t>challenging in the County</w:t>
      </w:r>
      <w:r w:rsidR="006E6F62">
        <w:rPr>
          <w:rFonts w:ascii="AvenirNextLTPro-Regular" w:hAnsi="AvenirNextLTPro-Regular"/>
        </w:rPr>
        <w:t>, due to the growing urban sprawl</w:t>
      </w:r>
      <w:r w:rsidR="00983CDF">
        <w:rPr>
          <w:rFonts w:ascii="AvenirNextLTPro-Regular" w:hAnsi="AvenirNextLTPro-Regular"/>
        </w:rPr>
        <w:t>, growing cost of homes,</w:t>
      </w:r>
      <w:r w:rsidR="006E6F62">
        <w:rPr>
          <w:rFonts w:ascii="AvenirNextLTPro-Regular" w:hAnsi="AvenirNextLTPro-Regular"/>
        </w:rPr>
        <w:t xml:space="preserve"> and strain on resources</w:t>
      </w:r>
      <w:r w:rsidR="00A848EE">
        <w:rPr>
          <w:rFonts w:ascii="AvenirNextLTPro-Regular" w:hAnsi="AvenirNextLTPro-Regular"/>
        </w:rPr>
        <w:t xml:space="preserve">. </w:t>
      </w:r>
      <w:r w:rsidR="00211C05">
        <w:rPr>
          <w:rFonts w:ascii="AvenirNextLTPro-Regular" w:hAnsi="AvenirNextLTPro-Regular"/>
        </w:rPr>
        <w:t xml:space="preserve">The </w:t>
      </w:r>
      <w:r w:rsidR="00C8782D" w:rsidRPr="00FF0DA4">
        <w:rPr>
          <w:rFonts w:ascii="AvenirNextLTPro-Regular" w:hAnsi="AvenirNextLTPro-Regular"/>
        </w:rPr>
        <w:t>following are the key takeaways that highlight the severity of the housing crisis in the county as well as the city.</w:t>
      </w:r>
    </w:p>
    <w:p w14:paraId="1D297126" w14:textId="77777777" w:rsidR="00194FB4" w:rsidRDefault="00194FB4" w:rsidP="004B64F2">
      <w:pPr>
        <w:pStyle w:val="PrimaryOrangeHeader"/>
        <w:suppressAutoHyphens/>
        <w:spacing w:line="240" w:lineRule="auto"/>
        <w:rPr>
          <w:rFonts w:ascii="AvenirNextLTPro-Regular" w:hAnsi="AvenirNextLTPro-Regular"/>
          <w:sz w:val="28"/>
          <w:szCs w:val="28"/>
        </w:rPr>
      </w:pPr>
    </w:p>
    <w:p w14:paraId="59E69139" w14:textId="77777777" w:rsidR="00D116FA" w:rsidRPr="00FF0DA4" w:rsidRDefault="00D24839" w:rsidP="004B64F2">
      <w:pPr>
        <w:pStyle w:val="PrimaryOrangeHeader"/>
        <w:suppressAutoHyphens/>
        <w:spacing w:line="240" w:lineRule="auto"/>
        <w:rPr>
          <w:rFonts w:ascii="AvenirNextLTPro-Regular" w:hAnsi="AvenirNextLTPro-Regular"/>
          <w:sz w:val="28"/>
          <w:szCs w:val="28"/>
        </w:rPr>
      </w:pPr>
      <w:r w:rsidRPr="00FF0DA4">
        <w:rPr>
          <w:rFonts w:ascii="AvenirNextLTPro-Regular" w:hAnsi="AvenirNextLTPro-Regular"/>
          <w:sz w:val="28"/>
          <w:szCs w:val="28"/>
        </w:rPr>
        <w:t xml:space="preserve">Household Economic </w:t>
      </w:r>
    </w:p>
    <w:p w14:paraId="7D5E306A" w14:textId="77777777" w:rsidR="00D116FA" w:rsidRPr="00FF0DA4" w:rsidRDefault="00D116FA" w:rsidP="004B64F2">
      <w:pPr>
        <w:pStyle w:val="BasicParagraph0"/>
        <w:numPr>
          <w:ilvl w:val="0"/>
          <w:numId w:val="6"/>
        </w:numPr>
        <w:suppressAutoHyphens/>
        <w:spacing w:line="240" w:lineRule="auto"/>
        <w:rPr>
          <w:rFonts w:ascii="AvenirNextLTPro-Regular" w:hAnsi="AvenirNextLTPro-Regular"/>
          <w:color w:val="auto"/>
        </w:rPr>
      </w:pPr>
      <w:r w:rsidRPr="00FF0DA4">
        <w:rPr>
          <w:rFonts w:ascii="AvenirNextLTPro-Regular" w:hAnsi="AvenirNextLTPro-Regular"/>
          <w:color w:val="auto"/>
        </w:rPr>
        <w:t>The City and County have a diverse range of demographic characteristics based on household size, income, and needs that can accommodate a variety of rental and for-sale housing options at affordable rates. Specifically, there are a growing number of younger households and empty nesters</w:t>
      </w:r>
      <w:r w:rsidR="00390949">
        <w:rPr>
          <w:rFonts w:ascii="AvenirNextLTPro-Regular" w:hAnsi="AvenirNextLTPro-Regular"/>
          <w:color w:val="auto"/>
        </w:rPr>
        <w:t xml:space="preserve"> (significant growth projected </w:t>
      </w:r>
      <w:r w:rsidR="00E42D9B">
        <w:rPr>
          <w:rFonts w:ascii="AvenirNextLTPro-Regular" w:hAnsi="AvenirNextLTPro-Regular"/>
          <w:color w:val="auto"/>
        </w:rPr>
        <w:t xml:space="preserve">for </w:t>
      </w:r>
      <w:r w:rsidR="00390949">
        <w:rPr>
          <w:rFonts w:ascii="AvenirNextLTPro-Regular" w:hAnsi="AvenirNextLTPro-Regular"/>
          <w:color w:val="auto"/>
        </w:rPr>
        <w:t>65+)</w:t>
      </w:r>
      <w:r w:rsidR="00983CDF">
        <w:rPr>
          <w:rFonts w:ascii="AvenirNextLTPro-Regular" w:hAnsi="AvenirNextLTPro-Regular"/>
          <w:color w:val="auto"/>
        </w:rPr>
        <w:t>.</w:t>
      </w:r>
    </w:p>
    <w:p w14:paraId="21744440" w14:textId="77777777" w:rsidR="00A66E02" w:rsidRPr="00FF0DA4" w:rsidRDefault="00A66E02" w:rsidP="00E710AD">
      <w:pPr>
        <w:pStyle w:val="ListParagraph"/>
        <w:numPr>
          <w:ilvl w:val="0"/>
          <w:numId w:val="3"/>
        </w:numPr>
        <w:autoSpaceDE w:val="0"/>
        <w:autoSpaceDN w:val="0"/>
        <w:adjustRightInd w:val="0"/>
        <w:spacing w:after="0" w:line="240" w:lineRule="auto"/>
        <w:rPr>
          <w:rFonts w:ascii="AvenirNextLTPro-Regular" w:hAnsi="AvenirNextLTPro-Regular" w:cs="AvenirNextLTPro-Regular"/>
          <w:color w:val="000000"/>
        </w:rPr>
      </w:pPr>
      <w:r w:rsidRPr="00FF0DA4">
        <w:rPr>
          <w:rFonts w:ascii="AvenirNextLTPro-Regular" w:hAnsi="AvenirNextLTPro-Regular" w:cs="AvenirNextLTPro-Regular"/>
          <w:color w:val="000000"/>
        </w:rPr>
        <w:t>Approximately 85,000 Greenville households are at 80% AMI or below, of this group, approximately 46,000 are housing cost burdened.</w:t>
      </w:r>
    </w:p>
    <w:p w14:paraId="046B1AE7" w14:textId="77777777" w:rsidR="00A66E02" w:rsidRPr="00A66E02" w:rsidRDefault="00A66E02" w:rsidP="00E710AD">
      <w:pPr>
        <w:pStyle w:val="ListParagraph"/>
        <w:numPr>
          <w:ilvl w:val="0"/>
          <w:numId w:val="18"/>
        </w:numPr>
        <w:autoSpaceDE w:val="0"/>
        <w:autoSpaceDN w:val="0"/>
        <w:adjustRightInd w:val="0"/>
        <w:spacing w:after="0" w:line="240" w:lineRule="auto"/>
        <w:rPr>
          <w:rFonts w:ascii="AvenirNextLTPro-Regular" w:hAnsi="AvenirNextLTPro-Regular" w:cs="AvenirNextLTPro-Regular"/>
          <w:color w:val="000000"/>
        </w:rPr>
      </w:pPr>
      <w:r w:rsidRPr="004B64F2">
        <w:rPr>
          <w:rFonts w:ascii="AvenirNextLTPro-Regular" w:hAnsi="AvenirNextLTPro-Regular"/>
        </w:rPr>
        <w:t>Housing Wage in Greenville required for a one-bedroom household is $14.67. The Housing Wage for a two-bedroom household is $17.27</w:t>
      </w:r>
    </w:p>
    <w:p w14:paraId="1BF3C69E" w14:textId="77777777" w:rsidR="00A66E02" w:rsidRPr="00A66E02" w:rsidRDefault="00A66E02">
      <w:pPr>
        <w:pStyle w:val="ListParagraph"/>
        <w:numPr>
          <w:ilvl w:val="1"/>
          <w:numId w:val="18"/>
        </w:numPr>
        <w:autoSpaceDE w:val="0"/>
        <w:autoSpaceDN w:val="0"/>
        <w:adjustRightInd w:val="0"/>
        <w:spacing w:after="0" w:line="240" w:lineRule="auto"/>
        <w:rPr>
          <w:rFonts w:ascii="AvenirNextLTPro-Regular" w:hAnsi="AvenirNextLTPro-Regular" w:cs="AvenirNextLTPro-Regular"/>
          <w:color w:val="000000"/>
        </w:rPr>
      </w:pPr>
      <w:r w:rsidRPr="00A66E02">
        <w:rPr>
          <w:rFonts w:ascii="AvenirNextLTPro-Regular" w:hAnsi="AvenirNextLTPro-Regular"/>
        </w:rPr>
        <w:t xml:space="preserve">If working 40 hours per week, $14.67 equates to $30,513. Over 35,000 (6,900 </w:t>
      </w:r>
      <w:r w:rsidR="007D482A">
        <w:rPr>
          <w:rFonts w:ascii="AvenirNextLTPro-Regular" w:hAnsi="AvenirNextLTPro-Regular"/>
        </w:rPr>
        <w:t>of</w:t>
      </w:r>
      <w:r w:rsidR="002779DC">
        <w:rPr>
          <w:rFonts w:ascii="AvenirNextLTPro-Regular" w:hAnsi="AvenirNextLTPro-Regular"/>
        </w:rPr>
        <w:t xml:space="preserve"> which are </w:t>
      </w:r>
      <w:r w:rsidRPr="00A66E02">
        <w:rPr>
          <w:rFonts w:ascii="AvenirNextLTPro-Regular" w:hAnsi="AvenirNextLTPro-Regular"/>
        </w:rPr>
        <w:t>in the City) households are estimated to have an income below that amount.</w:t>
      </w:r>
      <w:r w:rsidRPr="00A66E02">
        <w:rPr>
          <w:rFonts w:ascii="AvenirNextLTPro-Regular" w:hAnsi="AvenirNextLTPro-Regular"/>
          <w:b/>
          <w:bCs/>
        </w:rPr>
        <w:t xml:space="preserve"> </w:t>
      </w:r>
    </w:p>
    <w:p w14:paraId="721765CD" w14:textId="77777777" w:rsidR="00D116FA" w:rsidRPr="00FF0DA4" w:rsidRDefault="00D116FA" w:rsidP="004B64F2">
      <w:pPr>
        <w:pStyle w:val="PrimaryOrangeHeader"/>
        <w:suppressAutoHyphens/>
        <w:spacing w:line="240" w:lineRule="auto"/>
        <w:rPr>
          <w:rFonts w:ascii="AvenirNextLTPro-Regular" w:hAnsi="AvenirNextLTPro-Regular"/>
          <w:sz w:val="28"/>
          <w:szCs w:val="28"/>
        </w:rPr>
      </w:pPr>
      <w:r w:rsidRPr="00FF0DA4">
        <w:rPr>
          <w:rFonts w:ascii="AvenirNextLTPro-Regular" w:hAnsi="AvenirNextLTPro-Regular"/>
          <w:sz w:val="28"/>
          <w:szCs w:val="28"/>
        </w:rPr>
        <w:t xml:space="preserve">Demand </w:t>
      </w:r>
    </w:p>
    <w:p w14:paraId="06A9517A" w14:textId="77777777" w:rsidR="00D116FA" w:rsidRPr="00FF0DA4" w:rsidRDefault="00D116FA" w:rsidP="004B64F2">
      <w:pPr>
        <w:pStyle w:val="BasicParagraph0"/>
        <w:numPr>
          <w:ilvl w:val="0"/>
          <w:numId w:val="5"/>
        </w:numPr>
        <w:suppressAutoHyphens/>
        <w:spacing w:line="240" w:lineRule="auto"/>
        <w:rPr>
          <w:rFonts w:ascii="AvenirNextLTPro-Regular" w:hAnsi="AvenirNextLTPro-Regular"/>
        </w:rPr>
      </w:pPr>
      <w:r w:rsidRPr="00FF0DA4">
        <w:rPr>
          <w:rFonts w:ascii="AvenirNextLTPro-Regular" w:hAnsi="AvenirNextLTPro-Regular"/>
        </w:rPr>
        <w:t xml:space="preserve">There has been significant growth in households since 2010 with </w:t>
      </w:r>
      <w:r w:rsidR="00F22FC4">
        <w:rPr>
          <w:rFonts w:ascii="AvenirNextLTPro-Regular" w:hAnsi="AvenirNextLTPro-Regular"/>
        </w:rPr>
        <w:t xml:space="preserve">only </w:t>
      </w:r>
      <w:r w:rsidRPr="00FF0DA4">
        <w:rPr>
          <w:rFonts w:ascii="AvenirNextLTPro-Regular" w:hAnsi="AvenirNextLTPro-Regular"/>
        </w:rPr>
        <w:t xml:space="preserve">22% of the growth in the City, </w:t>
      </w:r>
      <w:r w:rsidR="00134C83">
        <w:rPr>
          <w:rFonts w:ascii="AvenirNextLTPro-Regular" w:hAnsi="AvenirNextLTPro-Regular"/>
        </w:rPr>
        <w:t>the other 78% have been in the county.</w:t>
      </w:r>
      <w:r w:rsidR="00134C83" w:rsidRPr="00FF0DA4">
        <w:rPr>
          <w:rFonts w:ascii="AvenirNextLTPro-Regular" w:hAnsi="AvenirNextLTPro-Regular"/>
        </w:rPr>
        <w:t xml:space="preserve"> </w:t>
      </w:r>
      <w:r w:rsidRPr="00FF0DA4">
        <w:rPr>
          <w:rFonts w:ascii="AvenirNextLTPro-Regular" w:hAnsi="AvenirNextLTPro-Regular"/>
        </w:rPr>
        <w:t>77% of th</w:t>
      </w:r>
      <w:r w:rsidR="002779DC">
        <w:rPr>
          <w:rFonts w:ascii="AvenirNextLTPro-Regular" w:hAnsi="AvenirNextLTPro-Regular"/>
        </w:rPr>
        <w:t>at</w:t>
      </w:r>
      <w:r w:rsidRPr="00FF0DA4">
        <w:rPr>
          <w:rFonts w:ascii="AvenirNextLTPro-Regular" w:hAnsi="AvenirNextLTPro-Regular"/>
        </w:rPr>
        <w:t xml:space="preserve"> total growth </w:t>
      </w:r>
      <w:r w:rsidR="00134C83">
        <w:rPr>
          <w:rFonts w:ascii="AvenirNextLTPro-Regular" w:hAnsi="AvenirNextLTPro-Regular"/>
        </w:rPr>
        <w:t xml:space="preserve">has been with </w:t>
      </w:r>
      <w:r w:rsidRPr="00FF0DA4">
        <w:rPr>
          <w:rFonts w:ascii="AvenirNextLTPro-Regular" w:hAnsi="AvenirNextLTPro-Regular"/>
        </w:rPr>
        <w:t>households</w:t>
      </w:r>
      <w:r w:rsidR="00134C83">
        <w:rPr>
          <w:rFonts w:ascii="AvenirNextLTPro-Regular" w:hAnsi="AvenirNextLTPro-Regular"/>
        </w:rPr>
        <w:t xml:space="preserve"> of</w:t>
      </w:r>
      <w:r w:rsidRPr="00FF0DA4">
        <w:rPr>
          <w:rFonts w:ascii="AvenirNextLTPro-Regular" w:hAnsi="AvenirNextLTPro-Regular"/>
        </w:rPr>
        <w:t xml:space="preserve"> only 1 or 2 people</w:t>
      </w:r>
      <w:r w:rsidR="005E168C" w:rsidRPr="00FF0DA4">
        <w:rPr>
          <w:rFonts w:ascii="AvenirNextLTPro-Regular" w:hAnsi="AvenirNextLTPro-Regular"/>
        </w:rPr>
        <w:t>.</w:t>
      </w:r>
    </w:p>
    <w:p w14:paraId="28A76D4B" w14:textId="77777777" w:rsidR="00D116FA" w:rsidRPr="00FF0DA4" w:rsidRDefault="00D116FA" w:rsidP="004B64F2">
      <w:pPr>
        <w:pStyle w:val="BasicParagraph0"/>
        <w:numPr>
          <w:ilvl w:val="0"/>
          <w:numId w:val="5"/>
        </w:numPr>
        <w:suppressAutoHyphens/>
        <w:spacing w:line="240" w:lineRule="auto"/>
        <w:rPr>
          <w:rFonts w:ascii="AvenirNextLTPro-Regular" w:hAnsi="AvenirNextLTPro-Regular"/>
        </w:rPr>
      </w:pPr>
      <w:r w:rsidRPr="00FF0DA4">
        <w:rPr>
          <w:rFonts w:ascii="AvenirNextLTPro-Regular" w:hAnsi="AvenirNextLTPro-Regular"/>
        </w:rPr>
        <w:t>There are many constraints on housing demand including a falling number of active listings on the market, an above average length of residency in rental units, limited for-sale product in various locations, and a limited variety in unit sizes</w:t>
      </w:r>
      <w:r w:rsidR="005E168C" w:rsidRPr="00FF0DA4">
        <w:rPr>
          <w:rFonts w:ascii="AvenirNextLTPro-Regular" w:hAnsi="AvenirNextLTPro-Regular"/>
        </w:rPr>
        <w:t>.</w:t>
      </w:r>
      <w:r w:rsidRPr="00FF0DA4">
        <w:rPr>
          <w:rFonts w:ascii="AvenirNextLTPro-Regular" w:hAnsi="AvenirNextLTPro-Regular"/>
        </w:rPr>
        <w:t xml:space="preserve"> </w:t>
      </w:r>
    </w:p>
    <w:p w14:paraId="3A18A406" w14:textId="77777777" w:rsidR="00D116FA" w:rsidRDefault="00EB1352" w:rsidP="004B64F2">
      <w:pPr>
        <w:pStyle w:val="PrimaryOrangeHeader"/>
        <w:numPr>
          <w:ilvl w:val="0"/>
          <w:numId w:val="5"/>
        </w:numPr>
        <w:suppressAutoHyphens/>
        <w:spacing w:line="240" w:lineRule="auto"/>
        <w:rPr>
          <w:rFonts w:ascii="AvenirNextLTPro-Regular" w:hAnsi="AvenirNextLTPro-Regular"/>
          <w:color w:val="auto"/>
          <w:sz w:val="22"/>
          <w:szCs w:val="22"/>
        </w:rPr>
      </w:pPr>
      <w:r>
        <w:rPr>
          <w:rFonts w:ascii="AvenirNextLTPro-Regular" w:hAnsi="AvenirNextLTPro-Regular"/>
          <w:color w:val="auto"/>
          <w:sz w:val="22"/>
          <w:szCs w:val="22"/>
        </w:rPr>
        <w:t xml:space="preserve">This demand </w:t>
      </w:r>
      <w:r w:rsidR="00E646C6">
        <w:rPr>
          <w:rFonts w:ascii="AvenirNextLTPro-Regular" w:hAnsi="AvenirNextLTPro-Regular"/>
          <w:color w:val="auto"/>
          <w:sz w:val="22"/>
          <w:szCs w:val="22"/>
        </w:rPr>
        <w:t xml:space="preserve">and its constraints </w:t>
      </w:r>
      <w:r w:rsidR="008C129A">
        <w:rPr>
          <w:rFonts w:ascii="AvenirNextLTPro-Regular" w:hAnsi="AvenirNextLTPro-Regular"/>
          <w:color w:val="auto"/>
          <w:sz w:val="22"/>
          <w:szCs w:val="22"/>
        </w:rPr>
        <w:t>put</w:t>
      </w:r>
      <w:r>
        <w:rPr>
          <w:rFonts w:ascii="AvenirNextLTPro-Regular" w:hAnsi="AvenirNextLTPro-Regular"/>
          <w:color w:val="auto"/>
          <w:sz w:val="22"/>
          <w:szCs w:val="22"/>
        </w:rPr>
        <w:t xml:space="preserve"> a heavy </w:t>
      </w:r>
      <w:r w:rsidR="00E646C6">
        <w:rPr>
          <w:rFonts w:ascii="AvenirNextLTPro-Regular" w:hAnsi="AvenirNextLTPro-Regular"/>
          <w:color w:val="auto"/>
          <w:sz w:val="22"/>
          <w:szCs w:val="22"/>
        </w:rPr>
        <w:t>burden on the existing market, driving prices up</w:t>
      </w:r>
      <w:r w:rsidR="00A47BC5">
        <w:rPr>
          <w:rFonts w:ascii="AvenirNextLTPro-Regular" w:hAnsi="AvenirNextLTPro-Regular"/>
          <w:color w:val="auto"/>
          <w:sz w:val="22"/>
          <w:szCs w:val="22"/>
        </w:rPr>
        <w:t xml:space="preserve">, and with a high value market more and more naturally occurring </w:t>
      </w:r>
      <w:r w:rsidR="00FA155D">
        <w:rPr>
          <w:rFonts w:ascii="AvenirNextLTPro-Regular" w:hAnsi="AvenirNextLTPro-Regular"/>
          <w:color w:val="auto"/>
          <w:sz w:val="22"/>
          <w:szCs w:val="22"/>
        </w:rPr>
        <w:t xml:space="preserve">affordable housing is being lost to the market. </w:t>
      </w:r>
    </w:p>
    <w:p w14:paraId="5E59427C" w14:textId="77777777" w:rsidR="004632C9" w:rsidRPr="00FF0DA4" w:rsidRDefault="004632C9" w:rsidP="00647E1C">
      <w:pPr>
        <w:autoSpaceDE w:val="0"/>
        <w:autoSpaceDN w:val="0"/>
        <w:adjustRightInd w:val="0"/>
        <w:spacing w:after="0" w:line="240" w:lineRule="auto"/>
        <w:ind w:firstLine="720"/>
        <w:rPr>
          <w:rFonts w:ascii="AvenirNextLTPro-Regular" w:hAnsi="AvenirNextLTPro-Regular" w:cs="AvenirNextLTPro-Demi"/>
          <w:color w:val="48877A"/>
          <w:sz w:val="26"/>
          <w:szCs w:val="26"/>
        </w:rPr>
      </w:pPr>
      <w:r w:rsidRPr="00FF0DA4">
        <w:rPr>
          <w:rFonts w:ascii="AvenirNextLTPro-Regular" w:hAnsi="AvenirNextLTPro-Regular" w:cs="AvenirNextLTPro-Demi"/>
          <w:color w:val="48877A"/>
          <w:sz w:val="26"/>
          <w:szCs w:val="26"/>
        </w:rPr>
        <w:t xml:space="preserve">Significant </w:t>
      </w:r>
      <w:r w:rsidR="004B64F2">
        <w:rPr>
          <w:rFonts w:ascii="AvenirNextLTPro-Regular" w:hAnsi="AvenirNextLTPro-Regular" w:cs="AvenirNextLTPro-Demi"/>
          <w:color w:val="48877A"/>
          <w:sz w:val="26"/>
          <w:szCs w:val="26"/>
        </w:rPr>
        <w:t xml:space="preserve">Lack of Multifamily </w:t>
      </w:r>
      <w:r>
        <w:rPr>
          <w:rFonts w:ascii="AvenirNextLTPro-Regular" w:hAnsi="AvenirNextLTPro-Regular" w:cs="AvenirNextLTPro-Demi"/>
          <w:color w:val="48877A"/>
          <w:sz w:val="26"/>
          <w:szCs w:val="26"/>
        </w:rPr>
        <w:t>R</w:t>
      </w:r>
      <w:r w:rsidR="004B64F2">
        <w:rPr>
          <w:rFonts w:ascii="AvenirNextLTPro-Regular" w:hAnsi="AvenirNextLTPro-Regular" w:cs="AvenirNextLTPro-Demi"/>
          <w:color w:val="48877A"/>
          <w:sz w:val="26"/>
          <w:szCs w:val="26"/>
        </w:rPr>
        <w:t>ental</w:t>
      </w:r>
      <w:r w:rsidRPr="00FF0DA4">
        <w:rPr>
          <w:rFonts w:ascii="AvenirNextLTPro-Regular" w:hAnsi="AvenirNextLTPro-Regular" w:cs="AvenirNextLTPro-Demi"/>
          <w:color w:val="48877A"/>
          <w:sz w:val="26"/>
          <w:szCs w:val="26"/>
        </w:rPr>
        <w:t xml:space="preserve"> Affordable Housing Development</w:t>
      </w:r>
    </w:p>
    <w:p w14:paraId="215873C1" w14:textId="77777777" w:rsidR="004632C9" w:rsidRPr="00FF0DA4" w:rsidRDefault="00A7718F" w:rsidP="00E710AD">
      <w:pPr>
        <w:pStyle w:val="ListParagraph"/>
        <w:numPr>
          <w:ilvl w:val="0"/>
          <w:numId w:val="5"/>
        </w:numPr>
        <w:autoSpaceDE w:val="0"/>
        <w:autoSpaceDN w:val="0"/>
        <w:adjustRightInd w:val="0"/>
        <w:spacing w:after="0" w:line="240" w:lineRule="auto"/>
        <w:rPr>
          <w:rFonts w:ascii="AvenirNextLTPro-Regular" w:hAnsi="AvenirNextLTPro-Regular" w:cs="AvenirNextLTPro-Regular"/>
          <w:color w:val="000000"/>
        </w:rPr>
      </w:pPr>
      <w:r>
        <w:rPr>
          <w:rFonts w:ascii="AvenirNextLTPro-Regular" w:hAnsi="AvenirNextLTPro-Regular" w:cs="AvenirNextLTPro-Regular"/>
          <w:color w:val="000000"/>
        </w:rPr>
        <w:t>S</w:t>
      </w:r>
      <w:r w:rsidR="004B64F2">
        <w:rPr>
          <w:rFonts w:ascii="AvenirNextLTPro-Regular" w:hAnsi="AvenirNextLTPro-Regular" w:cs="AvenirNextLTPro-Regular"/>
          <w:color w:val="000000"/>
        </w:rPr>
        <w:t xml:space="preserve">ingle </w:t>
      </w:r>
      <w:r>
        <w:rPr>
          <w:rFonts w:ascii="AvenirNextLTPro-Regular" w:hAnsi="AvenirNextLTPro-Regular" w:cs="AvenirNextLTPro-Regular"/>
          <w:color w:val="000000"/>
        </w:rPr>
        <w:t>F</w:t>
      </w:r>
      <w:r w:rsidR="004B64F2">
        <w:rPr>
          <w:rFonts w:ascii="AvenirNextLTPro-Regular" w:hAnsi="AvenirNextLTPro-Regular" w:cs="AvenirNextLTPro-Regular"/>
          <w:color w:val="000000"/>
        </w:rPr>
        <w:t>amily development</w:t>
      </w:r>
      <w:r w:rsidR="004632C9" w:rsidRPr="00FF0DA4">
        <w:rPr>
          <w:rFonts w:ascii="AvenirNextLTPro-Regular" w:hAnsi="AvenirNextLTPro-Regular" w:cs="AvenirNextLTPro-Regular"/>
          <w:color w:val="000000"/>
        </w:rPr>
        <w:t xml:space="preserve"> costs are increasing </w:t>
      </w:r>
      <w:r w:rsidR="004632C9">
        <w:rPr>
          <w:rFonts w:ascii="AvenirNextLTPro-Regular" w:hAnsi="AvenirNextLTPro-Regular" w:cs="AvenirNextLTPro-Regular"/>
          <w:color w:val="000000"/>
        </w:rPr>
        <w:t>M</w:t>
      </w:r>
      <w:r w:rsidR="004B64F2">
        <w:rPr>
          <w:rFonts w:ascii="AvenirNextLTPro-Regular" w:hAnsi="AvenirNextLTPro-Regular" w:cs="AvenirNextLTPro-Regular"/>
          <w:color w:val="000000"/>
        </w:rPr>
        <w:t xml:space="preserve">ultifamily </w:t>
      </w:r>
      <w:r w:rsidR="004632C9">
        <w:rPr>
          <w:rFonts w:ascii="AvenirNextLTPro-Regular" w:hAnsi="AvenirNextLTPro-Regular" w:cs="AvenirNextLTPro-Regular"/>
          <w:color w:val="000000"/>
        </w:rPr>
        <w:t>R</w:t>
      </w:r>
      <w:r w:rsidR="004B64F2">
        <w:rPr>
          <w:rFonts w:ascii="AvenirNextLTPro-Regular" w:hAnsi="AvenirNextLTPro-Regular" w:cs="AvenirNextLTPro-Regular"/>
          <w:color w:val="000000"/>
        </w:rPr>
        <w:t>ental</w:t>
      </w:r>
      <w:r w:rsidR="004632C9" w:rsidRPr="00FF0DA4">
        <w:rPr>
          <w:rFonts w:ascii="AvenirNextLTPro-Regular" w:hAnsi="AvenirNextLTPro-Regular" w:cs="AvenirNextLTPro-Regular"/>
          <w:color w:val="000000"/>
        </w:rPr>
        <w:t xml:space="preserve"> demand</w:t>
      </w:r>
    </w:p>
    <w:p w14:paraId="595D6B62" w14:textId="77777777" w:rsidR="004632C9" w:rsidRPr="00FF0DA4" w:rsidRDefault="004632C9" w:rsidP="00E710AD">
      <w:pPr>
        <w:pStyle w:val="ListParagraph"/>
        <w:numPr>
          <w:ilvl w:val="0"/>
          <w:numId w:val="5"/>
        </w:numPr>
        <w:autoSpaceDE w:val="0"/>
        <w:autoSpaceDN w:val="0"/>
        <w:adjustRightInd w:val="0"/>
        <w:spacing w:after="0" w:line="240" w:lineRule="auto"/>
        <w:rPr>
          <w:rFonts w:ascii="AvenirNextLTPro-Regular" w:hAnsi="AvenirNextLTPro-Regular" w:cs="AvenirNextLTPro-Regular"/>
          <w:color w:val="000000"/>
        </w:rPr>
      </w:pPr>
      <w:r>
        <w:rPr>
          <w:rFonts w:ascii="AvenirNextLTPro-Regular" w:hAnsi="AvenirNextLTPro-Regular" w:cs="AvenirNextLTPro-Regular"/>
          <w:color w:val="000000"/>
        </w:rPr>
        <w:t>M</w:t>
      </w:r>
      <w:r w:rsidR="004B64F2">
        <w:rPr>
          <w:rFonts w:ascii="AvenirNextLTPro-Regular" w:hAnsi="AvenirNextLTPro-Regular" w:cs="AvenirNextLTPro-Regular"/>
          <w:color w:val="000000"/>
        </w:rPr>
        <w:t xml:space="preserve">ultifamily </w:t>
      </w:r>
      <w:r>
        <w:rPr>
          <w:rFonts w:ascii="AvenirNextLTPro-Regular" w:hAnsi="AvenirNextLTPro-Regular" w:cs="AvenirNextLTPro-Regular"/>
          <w:color w:val="000000"/>
        </w:rPr>
        <w:t>R</w:t>
      </w:r>
      <w:r w:rsidR="004B64F2">
        <w:rPr>
          <w:rFonts w:ascii="AvenirNextLTPro-Regular" w:hAnsi="AvenirNextLTPro-Regular" w:cs="AvenirNextLTPro-Regular"/>
          <w:color w:val="000000"/>
        </w:rPr>
        <w:t>ental</w:t>
      </w:r>
      <w:r>
        <w:rPr>
          <w:rFonts w:ascii="AvenirNextLTPro-Regular" w:hAnsi="AvenirNextLTPro-Regular" w:cs="AvenirNextLTPro-Regular"/>
          <w:color w:val="000000"/>
        </w:rPr>
        <w:t xml:space="preserve"> </w:t>
      </w:r>
      <w:r w:rsidRPr="00FF0DA4">
        <w:rPr>
          <w:rFonts w:ascii="AvenirNextLTPro-Regular" w:hAnsi="AvenirNextLTPro-Regular" w:cs="AvenirNextLTPro-Regular"/>
          <w:color w:val="000000"/>
        </w:rPr>
        <w:t>production inconsistent – demand significantly outweighs supply</w:t>
      </w:r>
    </w:p>
    <w:p w14:paraId="6FED783F" w14:textId="77777777" w:rsidR="004632C9" w:rsidRPr="004B64F2" w:rsidRDefault="004632C9" w:rsidP="004B64F2">
      <w:pPr>
        <w:pStyle w:val="ListParagraph"/>
        <w:numPr>
          <w:ilvl w:val="0"/>
          <w:numId w:val="5"/>
        </w:numPr>
        <w:autoSpaceDE w:val="0"/>
        <w:autoSpaceDN w:val="0"/>
        <w:adjustRightInd w:val="0"/>
        <w:spacing w:after="0" w:line="240" w:lineRule="auto"/>
        <w:rPr>
          <w:rFonts w:ascii="AvenirNextLTPro-Regular" w:hAnsi="AvenirNextLTPro-Regular" w:cs="AvenirNextLTPro-Regular"/>
          <w:color w:val="000000"/>
        </w:rPr>
      </w:pPr>
      <w:r w:rsidRPr="00FF0DA4">
        <w:rPr>
          <w:rFonts w:ascii="AvenirNextLTPro-Regular" w:hAnsi="AvenirNextLTPro-Regular" w:cs="AvenirNextLTPro-Regular"/>
          <w:color w:val="000000"/>
        </w:rPr>
        <w:t>Significant demand for new affordable M</w:t>
      </w:r>
      <w:r w:rsidR="004B64F2">
        <w:rPr>
          <w:rFonts w:ascii="AvenirNextLTPro-Regular" w:hAnsi="AvenirNextLTPro-Regular" w:cs="AvenirNextLTPro-Regular"/>
          <w:color w:val="000000"/>
        </w:rPr>
        <w:t xml:space="preserve">ultifamily </w:t>
      </w:r>
      <w:r w:rsidRPr="00FF0DA4">
        <w:rPr>
          <w:rFonts w:ascii="AvenirNextLTPro-Regular" w:hAnsi="AvenirNextLTPro-Regular" w:cs="AvenirNextLTPro-Regular"/>
          <w:color w:val="000000"/>
        </w:rPr>
        <w:t>R</w:t>
      </w:r>
      <w:r w:rsidR="004B64F2">
        <w:rPr>
          <w:rFonts w:ascii="AvenirNextLTPro-Regular" w:hAnsi="AvenirNextLTPro-Regular" w:cs="AvenirNextLTPro-Regular"/>
          <w:color w:val="000000"/>
        </w:rPr>
        <w:t>ental</w:t>
      </w:r>
      <w:r w:rsidRPr="00FF0DA4">
        <w:rPr>
          <w:rFonts w:ascii="AvenirNextLTPro-Regular" w:hAnsi="AvenirNextLTPro-Regular" w:cs="AvenirNextLTPro-Regular"/>
          <w:color w:val="000000"/>
        </w:rPr>
        <w:t xml:space="preserve"> in transit corridors and near employment</w:t>
      </w:r>
      <w:r>
        <w:rPr>
          <w:rFonts w:ascii="AvenirNextLTPro-Regular" w:hAnsi="AvenirNextLTPro-Regular" w:cs="AvenirNextLTPro-Regular"/>
          <w:color w:val="000000"/>
        </w:rPr>
        <w:t xml:space="preserve"> c</w:t>
      </w:r>
      <w:r w:rsidRPr="00B92DCB">
        <w:rPr>
          <w:rFonts w:ascii="AvenirNextLTPro-Regular" w:hAnsi="AvenirNextLTPro-Regular" w:cs="AvenirNextLTPro-Regular"/>
          <w:color w:val="000000"/>
        </w:rPr>
        <w:t>lusters</w:t>
      </w:r>
    </w:p>
    <w:p w14:paraId="042B0D70" w14:textId="77777777" w:rsidR="00D116FA" w:rsidRPr="00FF0DA4" w:rsidRDefault="00D116FA" w:rsidP="004B64F2">
      <w:pPr>
        <w:pStyle w:val="PrimaryOrangeHeader"/>
        <w:suppressAutoHyphens/>
        <w:spacing w:line="240" w:lineRule="auto"/>
        <w:rPr>
          <w:rFonts w:ascii="AvenirNextLTPro-Regular" w:hAnsi="AvenirNextLTPro-Regular"/>
          <w:sz w:val="28"/>
          <w:szCs w:val="28"/>
        </w:rPr>
      </w:pPr>
      <w:r w:rsidRPr="00FF0DA4">
        <w:rPr>
          <w:rFonts w:ascii="AvenirNextLTPro-Regular" w:hAnsi="AvenirNextLTPro-Regular"/>
          <w:sz w:val="28"/>
          <w:szCs w:val="28"/>
        </w:rPr>
        <w:t xml:space="preserve">Supply </w:t>
      </w:r>
    </w:p>
    <w:p w14:paraId="02AF419B" w14:textId="77777777" w:rsidR="00D116FA" w:rsidRPr="00FF0DA4" w:rsidRDefault="00D116FA" w:rsidP="004B64F2">
      <w:pPr>
        <w:pStyle w:val="BasicParagraph0"/>
        <w:numPr>
          <w:ilvl w:val="0"/>
          <w:numId w:val="29"/>
        </w:numPr>
        <w:suppressAutoHyphens/>
        <w:spacing w:line="240" w:lineRule="auto"/>
        <w:rPr>
          <w:rFonts w:ascii="AvenirNextLTPro-Regular" w:hAnsi="AvenirNextLTPro-Regular"/>
        </w:rPr>
      </w:pPr>
      <w:r w:rsidRPr="00FF0DA4">
        <w:rPr>
          <w:rFonts w:ascii="AvenirNextLTPro-Regular" w:hAnsi="AvenirNextLTPro-Regular"/>
        </w:rPr>
        <w:t>The supply composition is different based on location as the City has more rental units</w:t>
      </w:r>
      <w:r w:rsidR="007713A6">
        <w:rPr>
          <w:rFonts w:ascii="AvenirNextLTPro-Regular" w:hAnsi="AvenirNextLTPro-Regular"/>
        </w:rPr>
        <w:t xml:space="preserve"> (57%)</w:t>
      </w:r>
      <w:r w:rsidRPr="00FF0DA4">
        <w:rPr>
          <w:rFonts w:ascii="AvenirNextLTPro-Regular" w:hAnsi="AvenirNextLTPro-Regular"/>
        </w:rPr>
        <w:t xml:space="preserve"> than owne</w:t>
      </w:r>
      <w:r w:rsidR="00932D31" w:rsidRPr="00FF0DA4">
        <w:rPr>
          <w:rFonts w:ascii="AvenirNextLTPro-Regular" w:hAnsi="AvenirNextLTPro-Regular"/>
        </w:rPr>
        <w:t>r</w:t>
      </w:r>
      <w:r w:rsidRPr="00FF0DA4">
        <w:rPr>
          <w:rFonts w:ascii="AvenirNextLTPro-Regular" w:hAnsi="AvenirNextLTPro-Regular"/>
        </w:rPr>
        <w:t xml:space="preserve"> units, while the County is skewed heavily toward owne</w:t>
      </w:r>
      <w:r w:rsidR="00932D31" w:rsidRPr="00FF0DA4">
        <w:rPr>
          <w:rFonts w:ascii="AvenirNextLTPro-Regular" w:hAnsi="AvenirNextLTPro-Regular"/>
        </w:rPr>
        <w:t>r</w:t>
      </w:r>
      <w:r w:rsidRPr="00FF0DA4">
        <w:rPr>
          <w:rFonts w:ascii="AvenirNextLTPro-Regular" w:hAnsi="AvenirNextLTPro-Regular"/>
        </w:rPr>
        <w:t xml:space="preserve"> units</w:t>
      </w:r>
      <w:r w:rsidR="007713A6">
        <w:rPr>
          <w:rFonts w:ascii="AvenirNextLTPro-Regular" w:hAnsi="AvenirNextLTPro-Regular"/>
        </w:rPr>
        <w:t xml:space="preserve"> </w:t>
      </w:r>
      <w:r w:rsidR="00AA4E3B">
        <w:rPr>
          <w:rFonts w:ascii="AvenirNextLTPro-Regular" w:hAnsi="AvenirNextLTPro-Regular"/>
        </w:rPr>
        <w:t>(72%)</w:t>
      </w:r>
      <w:r w:rsidR="005E168C" w:rsidRPr="00FF0DA4">
        <w:rPr>
          <w:rFonts w:ascii="AvenirNextLTPro-Regular" w:hAnsi="AvenirNextLTPro-Regular"/>
        </w:rPr>
        <w:t>.</w:t>
      </w:r>
    </w:p>
    <w:p w14:paraId="18748877" w14:textId="77777777" w:rsidR="00AA4E3B" w:rsidRDefault="00D116FA" w:rsidP="004B64F2">
      <w:pPr>
        <w:pStyle w:val="BasicParagraph0"/>
        <w:numPr>
          <w:ilvl w:val="0"/>
          <w:numId w:val="4"/>
        </w:numPr>
        <w:suppressAutoHyphens/>
        <w:spacing w:line="240" w:lineRule="auto"/>
        <w:rPr>
          <w:rFonts w:cstheme="minorBidi"/>
          <w:sz w:val="28"/>
          <w:szCs w:val="28"/>
        </w:rPr>
      </w:pPr>
      <w:r w:rsidRPr="00FF0DA4">
        <w:rPr>
          <w:rFonts w:ascii="AvenirNextLTPro-Regular" w:hAnsi="AvenirNextLTPro-Regular"/>
        </w:rPr>
        <w:t>There are a greater number of rental units that are priced at 80% AMI and below than owne</w:t>
      </w:r>
      <w:r w:rsidR="00932D31" w:rsidRPr="00FF0DA4">
        <w:rPr>
          <w:rFonts w:ascii="AvenirNextLTPro-Regular" w:hAnsi="AvenirNextLTPro-Regular"/>
        </w:rPr>
        <w:t>r</w:t>
      </w:r>
      <w:r w:rsidRPr="00FF0DA4">
        <w:rPr>
          <w:rFonts w:ascii="AvenirNextLTPro-Regular" w:hAnsi="AvenirNextLTPro-Regular"/>
        </w:rPr>
        <w:t xml:space="preserve"> units, with the greatest share being at 50%-80% AMI</w:t>
      </w:r>
      <w:r w:rsidR="005E168C" w:rsidRPr="00FF0DA4">
        <w:rPr>
          <w:rFonts w:ascii="AvenirNextLTPro-Regular" w:hAnsi="AvenirNextLTPro-Regular"/>
        </w:rPr>
        <w:t>.</w:t>
      </w:r>
    </w:p>
    <w:p w14:paraId="49A3F6B4" w14:textId="77777777" w:rsidR="0024688C" w:rsidRPr="00FF0DA4" w:rsidRDefault="0024688C" w:rsidP="00647E1C">
      <w:pPr>
        <w:autoSpaceDE w:val="0"/>
        <w:autoSpaceDN w:val="0"/>
        <w:adjustRightInd w:val="0"/>
        <w:spacing w:after="0" w:line="240" w:lineRule="auto"/>
        <w:ind w:firstLine="720"/>
        <w:rPr>
          <w:rFonts w:ascii="AvenirNextLTPro-Regular" w:hAnsi="AvenirNextLTPro-Regular" w:cs="AvenirNextLTPro-Demi"/>
          <w:color w:val="48877A"/>
          <w:sz w:val="26"/>
          <w:szCs w:val="26"/>
        </w:rPr>
      </w:pPr>
      <w:r w:rsidRPr="00FF0DA4">
        <w:rPr>
          <w:rFonts w:ascii="AvenirNextLTPro-Regular" w:hAnsi="AvenirNextLTPro-Regular" w:cs="AvenirNextLTPro-Demi"/>
          <w:color w:val="48877A"/>
          <w:sz w:val="26"/>
          <w:szCs w:val="26"/>
        </w:rPr>
        <w:t xml:space="preserve">Household Mismatch </w:t>
      </w:r>
      <w:r w:rsidR="00F53465" w:rsidRPr="00FF0DA4">
        <w:rPr>
          <w:rFonts w:ascii="AvenirNextLTPro-Regular" w:hAnsi="AvenirNextLTPro-Regular" w:cs="AvenirNextLTPro-Demi"/>
          <w:color w:val="48877A"/>
          <w:sz w:val="26"/>
          <w:szCs w:val="26"/>
        </w:rPr>
        <w:t>to</w:t>
      </w:r>
      <w:r w:rsidRPr="00FF0DA4">
        <w:rPr>
          <w:rFonts w:ascii="AvenirNextLTPro-Regular" w:hAnsi="AvenirNextLTPro-Regular" w:cs="AvenirNextLTPro-Demi"/>
          <w:color w:val="48877A"/>
          <w:sz w:val="26"/>
          <w:szCs w:val="26"/>
        </w:rPr>
        <w:t xml:space="preserve"> Housing Unit Supply</w:t>
      </w:r>
    </w:p>
    <w:p w14:paraId="323C2E15" w14:textId="43081E18" w:rsidR="0024688C" w:rsidRPr="00FF0DA4" w:rsidRDefault="0024688C">
      <w:pPr>
        <w:pStyle w:val="ListParagraph"/>
        <w:numPr>
          <w:ilvl w:val="0"/>
          <w:numId w:val="3"/>
        </w:numPr>
        <w:autoSpaceDE w:val="0"/>
        <w:autoSpaceDN w:val="0"/>
        <w:adjustRightInd w:val="0"/>
        <w:spacing w:after="0" w:line="240" w:lineRule="auto"/>
        <w:rPr>
          <w:rFonts w:ascii="AvenirNextLTPro-Regular" w:hAnsi="AvenirNextLTPro-Regular" w:cs="AvenirNextLTPro-Regular"/>
          <w:color w:val="000000"/>
        </w:rPr>
      </w:pPr>
      <w:r w:rsidRPr="00FF0DA4">
        <w:rPr>
          <w:rFonts w:ascii="AvenirNextLTPro-Regular" w:hAnsi="AvenirNextLTPro-Regular" w:cs="AvenirNextLTPro-Regular"/>
          <w:color w:val="000000"/>
        </w:rPr>
        <w:t>A disproportionate share of cost-burdened households are renters and households</w:t>
      </w:r>
      <w:r w:rsidR="005450D8" w:rsidRPr="00FF0DA4">
        <w:rPr>
          <w:rFonts w:ascii="AvenirNextLTPro-Regular" w:hAnsi="AvenirNextLTPro-Regular" w:cs="AvenirNextLTPro-Regular"/>
          <w:color w:val="000000"/>
        </w:rPr>
        <w:t xml:space="preserve"> </w:t>
      </w:r>
      <w:r w:rsidRPr="00FF0DA4">
        <w:rPr>
          <w:rFonts w:ascii="AvenirNextLTPro-Regular" w:hAnsi="AvenirNextLTPro-Regular" w:cs="AvenirNextLTPro-Regular"/>
          <w:color w:val="000000"/>
        </w:rPr>
        <w:t>under the age of 35</w:t>
      </w:r>
      <w:r w:rsidR="005E168C" w:rsidRPr="00FF0DA4">
        <w:rPr>
          <w:rFonts w:ascii="AvenirNextLTPro-Regular" w:hAnsi="AvenirNextLTPro-Regular" w:cs="AvenirNextLTPro-Regular"/>
          <w:color w:val="000000"/>
        </w:rPr>
        <w:t>.</w:t>
      </w:r>
    </w:p>
    <w:p w14:paraId="49C0BB89" w14:textId="77777777" w:rsidR="0024688C" w:rsidRPr="00FF0DA4" w:rsidRDefault="0024688C">
      <w:pPr>
        <w:pStyle w:val="ListParagraph"/>
        <w:numPr>
          <w:ilvl w:val="0"/>
          <w:numId w:val="3"/>
        </w:numPr>
        <w:autoSpaceDE w:val="0"/>
        <w:autoSpaceDN w:val="0"/>
        <w:adjustRightInd w:val="0"/>
        <w:spacing w:after="0" w:line="240" w:lineRule="auto"/>
        <w:rPr>
          <w:rFonts w:ascii="AvenirNextLTPro-Regular" w:hAnsi="AvenirNextLTPro-Regular" w:cs="AvenirNextLTPro-Regular"/>
          <w:color w:val="000000"/>
        </w:rPr>
      </w:pPr>
      <w:r w:rsidRPr="00FF0DA4">
        <w:rPr>
          <w:rFonts w:ascii="AvenirNextLTPro-Regular" w:hAnsi="AvenirNextLTPro-Regular" w:cs="AvenirNextLTPro-Regular"/>
          <w:color w:val="000000"/>
        </w:rPr>
        <w:t>Low-income neighborhoods have a higher percentage of one-person households than</w:t>
      </w:r>
      <w:r w:rsidR="005450D8" w:rsidRPr="00FF0DA4">
        <w:rPr>
          <w:rFonts w:ascii="AvenirNextLTPro-Regular" w:hAnsi="AvenirNextLTPro-Regular" w:cs="AvenirNextLTPro-Regular"/>
          <w:color w:val="000000"/>
        </w:rPr>
        <w:t xml:space="preserve"> </w:t>
      </w:r>
      <w:r w:rsidRPr="00FF0DA4">
        <w:rPr>
          <w:rFonts w:ascii="AvenirNextLTPro-Regular" w:hAnsi="AvenirNextLTPro-Regular" w:cs="AvenirNextLTPro-Regular"/>
          <w:color w:val="000000"/>
        </w:rPr>
        <w:t>other neighborhoods</w:t>
      </w:r>
      <w:r w:rsidR="005E168C" w:rsidRPr="00FF0DA4">
        <w:rPr>
          <w:rFonts w:ascii="AvenirNextLTPro-Regular" w:hAnsi="AvenirNextLTPro-Regular" w:cs="AvenirNextLTPro-Regular"/>
          <w:color w:val="000000"/>
        </w:rPr>
        <w:t>.</w:t>
      </w:r>
    </w:p>
    <w:p w14:paraId="01E763CB" w14:textId="77777777" w:rsidR="00194FB4" w:rsidRPr="00FF0DA4" w:rsidRDefault="0024688C" w:rsidP="004B64F2">
      <w:pPr>
        <w:pStyle w:val="ListParagraph"/>
        <w:numPr>
          <w:ilvl w:val="0"/>
          <w:numId w:val="3"/>
        </w:numPr>
        <w:autoSpaceDE w:val="0"/>
        <w:autoSpaceDN w:val="0"/>
        <w:adjustRightInd w:val="0"/>
        <w:spacing w:after="0" w:line="240" w:lineRule="auto"/>
        <w:rPr>
          <w:rFonts w:cstheme="minorHAnsi"/>
          <w:sz w:val="28"/>
          <w:szCs w:val="28"/>
        </w:rPr>
      </w:pPr>
      <w:r w:rsidRPr="00FF0DA4">
        <w:rPr>
          <w:rFonts w:ascii="AvenirNextLTPro-Regular" w:hAnsi="AvenirNextLTPro-Regular" w:cs="AvenirNextLTPro-Regular"/>
          <w:color w:val="000000"/>
        </w:rPr>
        <w:t>Inventory of one-bedroom or studios units is lacking, given the demand</w:t>
      </w:r>
      <w:r w:rsidR="005E168C" w:rsidRPr="00FF0DA4">
        <w:rPr>
          <w:rFonts w:ascii="AvenirNextLTPro-Regular" w:hAnsi="AvenirNextLTPro-Regular" w:cs="AvenirNextLTPro-Regular"/>
          <w:color w:val="000000"/>
        </w:rPr>
        <w:t>.</w:t>
      </w:r>
    </w:p>
    <w:p w14:paraId="24EC213D" w14:textId="77777777" w:rsidR="007B18B4" w:rsidRDefault="0024688C" w:rsidP="00E710AD">
      <w:pPr>
        <w:autoSpaceDE w:val="0"/>
        <w:autoSpaceDN w:val="0"/>
        <w:adjustRightInd w:val="0"/>
        <w:spacing w:after="0" w:line="240" w:lineRule="auto"/>
        <w:rPr>
          <w:rFonts w:ascii="AvenirNextLTPro-Regular" w:hAnsi="AvenirNextLTPro-Regular" w:cstheme="minorHAnsi"/>
          <w:color w:val="F4A61C"/>
          <w:sz w:val="28"/>
          <w:szCs w:val="28"/>
        </w:rPr>
      </w:pPr>
      <w:r w:rsidRPr="00FF0DA4">
        <w:rPr>
          <w:rFonts w:ascii="AvenirNextLTPro-Regular" w:hAnsi="AvenirNextLTPro-Regular" w:cstheme="minorHAnsi"/>
          <w:color w:val="F4A61C"/>
          <w:sz w:val="28"/>
          <w:szCs w:val="28"/>
        </w:rPr>
        <w:lastRenderedPageBreak/>
        <w:t xml:space="preserve">Greenville’s Affordable Housing </w:t>
      </w:r>
      <w:r w:rsidR="00D91C61">
        <w:rPr>
          <w:rFonts w:ascii="AvenirNextLTPro-Regular" w:hAnsi="AvenirNextLTPro-Regular" w:cstheme="minorHAnsi"/>
          <w:color w:val="F4A61C"/>
          <w:sz w:val="28"/>
          <w:szCs w:val="28"/>
        </w:rPr>
        <w:t>Strategic Plan</w:t>
      </w:r>
      <w:r w:rsidR="00D91C61" w:rsidRPr="00FF0DA4">
        <w:rPr>
          <w:rFonts w:ascii="AvenirNextLTPro-Regular" w:hAnsi="AvenirNextLTPro-Regular" w:cstheme="minorHAnsi"/>
          <w:color w:val="F4A61C"/>
          <w:sz w:val="28"/>
          <w:szCs w:val="28"/>
        </w:rPr>
        <w:t xml:space="preserve"> </w:t>
      </w:r>
      <w:r w:rsidRPr="00FF0DA4">
        <w:rPr>
          <w:rFonts w:ascii="AvenirNextLTPro-Regular" w:hAnsi="AvenirNextLTPro-Regular" w:cstheme="minorHAnsi"/>
          <w:color w:val="F4A61C"/>
          <w:sz w:val="28"/>
          <w:szCs w:val="28"/>
        </w:rPr>
        <w:t xml:space="preserve">2020-2030 </w:t>
      </w:r>
      <w:r w:rsidR="001B5127">
        <w:rPr>
          <w:rFonts w:ascii="AvenirNextLTPro-Regular" w:hAnsi="AvenirNextLTPro-Regular" w:cstheme="minorHAnsi"/>
          <w:color w:val="F4A61C"/>
          <w:sz w:val="28"/>
          <w:szCs w:val="28"/>
        </w:rPr>
        <w:t>Focus Areas</w:t>
      </w:r>
    </w:p>
    <w:p w14:paraId="11C3E760" w14:textId="77777777" w:rsidR="001F42B3" w:rsidRPr="004B64F2" w:rsidRDefault="00593163">
      <w:pPr>
        <w:autoSpaceDE w:val="0"/>
        <w:autoSpaceDN w:val="0"/>
        <w:adjustRightInd w:val="0"/>
        <w:spacing w:after="0" w:line="240" w:lineRule="auto"/>
        <w:rPr>
          <w:rFonts w:ascii="AvenirNextLTPro-Regular" w:hAnsi="AvenirNextLTPro-Regular" w:cs="AvenirNextLTPro-Regular"/>
        </w:rPr>
        <w:sectPr w:rsidR="001F42B3" w:rsidRPr="004B64F2" w:rsidSect="001B5127">
          <w:type w:val="continuous"/>
          <w:pgSz w:w="12240" w:h="15840"/>
          <w:pgMar w:top="1080" w:right="1620" w:bottom="1440" w:left="1440" w:header="720" w:footer="720" w:gutter="0"/>
          <w:cols w:space="720"/>
          <w:docGrid w:linePitch="360"/>
        </w:sectPr>
      </w:pPr>
      <w:r w:rsidRPr="00FF0DA4">
        <w:rPr>
          <w:rFonts w:ascii="AvenirNextLTPro-Regular" w:hAnsi="AvenirNextLTPro-Regular" w:cs="AvenirNextLTPro-Regular"/>
        </w:rPr>
        <w:t xml:space="preserve">This plan aims to preserve over </w:t>
      </w:r>
      <w:r>
        <w:rPr>
          <w:rFonts w:ascii="AvenirNextLTPro-Regular" w:hAnsi="AvenirNextLTPro-Regular" w:cs="AvenirNextLTPro-Regular"/>
        </w:rPr>
        <w:t>3,</w:t>
      </w:r>
      <w:r w:rsidRPr="00FF0DA4">
        <w:rPr>
          <w:rFonts w:ascii="AvenirNextLTPro-Regular" w:hAnsi="AvenirNextLTPro-Regular" w:cs="AvenirNextLTPro-Regular"/>
        </w:rPr>
        <w:t>000 affordable homes and create over 10,000 units of affordable</w:t>
      </w:r>
      <w:r>
        <w:rPr>
          <w:rFonts w:ascii="AvenirNextLTPro-Regular" w:hAnsi="AvenirNextLTPro-Regular" w:cs="AvenirNextLTPro-Regular"/>
        </w:rPr>
        <w:t xml:space="preserve"> </w:t>
      </w:r>
      <w:r w:rsidRPr="00FF0DA4">
        <w:rPr>
          <w:rFonts w:ascii="AvenirNextLTPro-Regular" w:hAnsi="AvenirNextLTPro-Regular" w:cs="AvenirNextLTPro-Regular"/>
        </w:rPr>
        <w:t>housing throughout the city and county over the next decade.</w:t>
      </w:r>
      <w:r w:rsidR="00EA3B23">
        <w:rPr>
          <w:rFonts w:ascii="AvenirNextLTPro-Regular" w:hAnsi="AvenirNextLTPro-Regular" w:cs="AvenirNextLTPro-Regular"/>
        </w:rPr>
        <w:t xml:space="preserve"> It uses proven </w:t>
      </w:r>
      <w:r w:rsidR="00EA3B23" w:rsidRPr="00E0127D">
        <w:rPr>
          <w:rFonts w:ascii="AvenirNextLTPro-Regular" w:hAnsi="AvenirNextLTPro-Regular"/>
        </w:rPr>
        <w:t>strategies designed to effectively address the shortage of affordable housing available to Greenville’s low to moderate income households</w:t>
      </w:r>
      <w:r w:rsidR="00EA3B23">
        <w:rPr>
          <w:rFonts w:ascii="AvenirNextLTPro-Regular" w:hAnsi="AvenirNextLTPro-Regular"/>
        </w:rPr>
        <w:t>.</w:t>
      </w:r>
    </w:p>
    <w:p w14:paraId="238FF98F" w14:textId="77777777" w:rsidR="001B5127" w:rsidRDefault="001B5127">
      <w:pPr>
        <w:autoSpaceDE w:val="0"/>
        <w:autoSpaceDN w:val="0"/>
        <w:adjustRightInd w:val="0"/>
        <w:spacing w:after="0" w:line="240" w:lineRule="auto"/>
        <w:rPr>
          <w:rFonts w:ascii="AvenirNextLTPro-Regular" w:hAnsi="AvenirNextLTPro-Regular"/>
          <w:b/>
          <w:bCs/>
          <w:color w:val="48877A"/>
        </w:rPr>
        <w:sectPr w:rsidR="001B5127" w:rsidSect="00C24FFF">
          <w:type w:val="continuous"/>
          <w:pgSz w:w="12240" w:h="15840"/>
          <w:pgMar w:top="1080" w:right="1620" w:bottom="1440" w:left="1440" w:header="720" w:footer="720" w:gutter="0"/>
          <w:cols w:space="720"/>
          <w:docGrid w:linePitch="360"/>
        </w:sectPr>
      </w:pPr>
    </w:p>
    <w:p w14:paraId="6565B8D1" w14:textId="77777777" w:rsidR="00465F92" w:rsidRPr="00FF0DA4" w:rsidRDefault="00465F92">
      <w:pPr>
        <w:spacing w:after="0" w:line="240" w:lineRule="auto"/>
        <w:rPr>
          <w:rFonts w:ascii="AvenirNextLTPro-Regular" w:hAnsi="AvenirNextLTPro-Regular"/>
          <w:i/>
          <w:iCs/>
          <w:color w:val="48877A"/>
          <w:sz w:val="26"/>
          <w:szCs w:val="28"/>
        </w:rPr>
      </w:pPr>
      <w:r w:rsidRPr="00FF0DA4">
        <w:rPr>
          <w:rFonts w:ascii="AvenirNextLTPro-Regular" w:hAnsi="AvenirNextLTPro-Regular"/>
          <w:i/>
          <w:iCs/>
          <w:color w:val="48877A"/>
          <w:sz w:val="26"/>
          <w:szCs w:val="28"/>
        </w:rPr>
        <w:t>Housing Preservation</w:t>
      </w:r>
      <w:r w:rsidR="005D6E8E" w:rsidRPr="00FF0DA4">
        <w:rPr>
          <w:rFonts w:ascii="AvenirNextLTPro-Regular" w:hAnsi="AvenirNextLTPro-Regular"/>
          <w:i/>
          <w:iCs/>
          <w:color w:val="48877A"/>
          <w:sz w:val="26"/>
          <w:szCs w:val="28"/>
        </w:rPr>
        <w:t xml:space="preserve"> (</w:t>
      </w:r>
      <w:r w:rsidR="007A3EEA" w:rsidRPr="00FF0DA4">
        <w:rPr>
          <w:rFonts w:ascii="AvenirNextLTPro-Regular" w:hAnsi="AvenirNextLTPro-Regular"/>
          <w:i/>
          <w:iCs/>
          <w:color w:val="48877A"/>
          <w:sz w:val="26"/>
          <w:szCs w:val="28"/>
        </w:rPr>
        <w:t>3,</w:t>
      </w:r>
      <w:r w:rsidR="005D6E8E" w:rsidRPr="00FF0DA4">
        <w:rPr>
          <w:rFonts w:ascii="AvenirNextLTPro-Regular" w:hAnsi="AvenirNextLTPro-Regular"/>
          <w:i/>
          <w:iCs/>
          <w:color w:val="48877A"/>
          <w:sz w:val="26"/>
          <w:szCs w:val="28"/>
        </w:rPr>
        <w:t>000 units)</w:t>
      </w:r>
    </w:p>
    <w:p w14:paraId="0A7009EA" w14:textId="77777777" w:rsidR="00040C77" w:rsidRPr="00FF0DA4" w:rsidRDefault="00465F92">
      <w:pPr>
        <w:pStyle w:val="ListParagraph"/>
        <w:numPr>
          <w:ilvl w:val="0"/>
          <w:numId w:val="19"/>
        </w:numPr>
        <w:spacing w:after="0" w:line="240" w:lineRule="auto"/>
        <w:rPr>
          <w:rFonts w:ascii="AvenirNextLTPro-Regular" w:hAnsi="AvenirNextLTPro-Regular"/>
          <w:i/>
          <w:iCs/>
        </w:rPr>
      </w:pPr>
      <w:r w:rsidRPr="00FF0DA4">
        <w:rPr>
          <w:rFonts w:ascii="AvenirNextLTPro-Regular" w:hAnsi="AvenirNextLTPro-Regular"/>
        </w:rPr>
        <w:t>Through</w:t>
      </w:r>
      <w:r w:rsidR="004503C8" w:rsidRPr="00FF0DA4">
        <w:rPr>
          <w:rFonts w:ascii="AvenirNextLTPro-Regular" w:hAnsi="AvenirNextLTPro-Regular"/>
        </w:rPr>
        <w:t xml:space="preserve"> acquisition of naturally occurring affordable housing</w:t>
      </w:r>
      <w:r w:rsidR="008C129A">
        <w:rPr>
          <w:rFonts w:ascii="AvenirNextLTPro-Regular" w:hAnsi="AvenirNextLTPro-Regular"/>
        </w:rPr>
        <w:t xml:space="preserve"> (housing without incentives).</w:t>
      </w:r>
    </w:p>
    <w:p w14:paraId="0738FD46" w14:textId="77777777" w:rsidR="00763B30" w:rsidRPr="00FF0DA4" w:rsidRDefault="00763B30">
      <w:pPr>
        <w:pStyle w:val="ListParagraph"/>
        <w:numPr>
          <w:ilvl w:val="0"/>
          <w:numId w:val="19"/>
        </w:numPr>
        <w:spacing w:after="0" w:line="240" w:lineRule="auto"/>
        <w:rPr>
          <w:rFonts w:ascii="AvenirNextLTPro-Regular" w:hAnsi="AvenirNextLTPro-Regular"/>
          <w:i/>
          <w:iCs/>
        </w:rPr>
      </w:pPr>
      <w:r w:rsidRPr="00FF0DA4">
        <w:rPr>
          <w:rFonts w:ascii="AvenirNextLTPro-Regular" w:hAnsi="AvenirNextLTPro-Regular"/>
        </w:rPr>
        <w:t xml:space="preserve">Utilizing </w:t>
      </w:r>
      <w:r w:rsidR="008C129A">
        <w:rPr>
          <w:rFonts w:ascii="AvenirNextLTPro-Regular" w:hAnsi="AvenirNextLTPro-Regular"/>
        </w:rPr>
        <w:t xml:space="preserve">and scaling up </w:t>
      </w:r>
      <w:r w:rsidRPr="00FF0DA4">
        <w:rPr>
          <w:rFonts w:ascii="AvenirNextLTPro-Regular" w:hAnsi="AvenirNextLTPro-Regular"/>
        </w:rPr>
        <w:t xml:space="preserve">home rehabilitation </w:t>
      </w:r>
      <w:r w:rsidR="000C002A" w:rsidRPr="00FF0DA4">
        <w:rPr>
          <w:rFonts w:ascii="AvenirNextLTPro-Regular" w:hAnsi="AvenirNextLTPro-Regular"/>
        </w:rPr>
        <w:t xml:space="preserve">loans and grants coupled with </w:t>
      </w:r>
      <w:r w:rsidR="008C129A">
        <w:rPr>
          <w:rFonts w:ascii="AvenirNextLTPro-Regular" w:hAnsi="AvenirNextLTPro-Regular"/>
        </w:rPr>
        <w:t xml:space="preserve">financial </w:t>
      </w:r>
      <w:r w:rsidR="005E7823" w:rsidRPr="00FF0DA4">
        <w:rPr>
          <w:rFonts w:ascii="AvenirNextLTPro-Regular" w:hAnsi="AvenirNextLTPro-Regular"/>
        </w:rPr>
        <w:t>incentives</w:t>
      </w:r>
    </w:p>
    <w:p w14:paraId="305920CD" w14:textId="77777777" w:rsidR="005E7823" w:rsidRPr="00FF0DA4" w:rsidRDefault="005E7823">
      <w:pPr>
        <w:pStyle w:val="ListParagraph"/>
        <w:numPr>
          <w:ilvl w:val="0"/>
          <w:numId w:val="19"/>
        </w:numPr>
        <w:spacing w:after="0" w:line="240" w:lineRule="auto"/>
        <w:rPr>
          <w:rFonts w:ascii="AvenirNextLTPro-Regular" w:hAnsi="AvenirNextLTPro-Regular"/>
          <w:i/>
          <w:iCs/>
        </w:rPr>
      </w:pPr>
      <w:r w:rsidRPr="00FF0DA4">
        <w:rPr>
          <w:rFonts w:ascii="AvenirNextLTPro-Regular" w:hAnsi="AvenirNextLTPro-Regular"/>
        </w:rPr>
        <w:t>Partnering with non-profits and the private sector to revitalize d</w:t>
      </w:r>
      <w:r w:rsidR="00A649C5" w:rsidRPr="00FF0DA4">
        <w:rPr>
          <w:rFonts w:ascii="AvenirNextLTPro-Regular" w:hAnsi="AvenirNextLTPro-Regular"/>
        </w:rPr>
        <w:t>istressed homes for affordable resale/rental</w:t>
      </w:r>
      <w:r w:rsidR="008C129A">
        <w:rPr>
          <w:rFonts w:ascii="AvenirNextLTPro-Regular" w:hAnsi="AvenirNextLTPro-Regular"/>
        </w:rPr>
        <w:t xml:space="preserve"> t</w:t>
      </w:r>
      <w:r w:rsidR="00DC5791">
        <w:rPr>
          <w:rFonts w:ascii="AvenirNextLTPro-Regular" w:hAnsi="AvenirNextLTPro-Regular"/>
        </w:rPr>
        <w:t xml:space="preserve">o </w:t>
      </w:r>
      <w:r w:rsidR="008C129A">
        <w:rPr>
          <w:rFonts w:ascii="AvenirNextLTPro-Regular" w:hAnsi="AvenirNextLTPro-Regular"/>
        </w:rPr>
        <w:t xml:space="preserve">address tax delinquent and </w:t>
      </w:r>
      <w:r w:rsidR="001A199A">
        <w:rPr>
          <w:rFonts w:ascii="AvenirNextLTPro-Regular" w:hAnsi="AvenirNextLTPro-Regular"/>
        </w:rPr>
        <w:t>heirs’</w:t>
      </w:r>
      <w:r w:rsidR="008C129A">
        <w:rPr>
          <w:rFonts w:ascii="AvenirNextLTPro-Regular" w:hAnsi="AvenirNextLTPro-Regular"/>
        </w:rPr>
        <w:t xml:space="preserve"> properties while providing financial incentives to sellers</w:t>
      </w:r>
    </w:p>
    <w:p w14:paraId="664C1F0E" w14:textId="77777777" w:rsidR="005969A1" w:rsidRPr="00FF0DA4" w:rsidRDefault="005969A1">
      <w:pPr>
        <w:pStyle w:val="ListParagraph"/>
        <w:spacing w:after="0" w:line="240" w:lineRule="auto"/>
        <w:ind w:left="180"/>
        <w:rPr>
          <w:rFonts w:ascii="AvenirNextLTPro-Regular" w:hAnsi="AvenirNextLTPro-Regular"/>
          <w:i/>
          <w:iCs/>
        </w:rPr>
      </w:pPr>
    </w:p>
    <w:p w14:paraId="115039F9" w14:textId="77777777" w:rsidR="007B18B4" w:rsidRPr="00FF0DA4" w:rsidRDefault="007B18B4">
      <w:pPr>
        <w:spacing w:after="0" w:line="240" w:lineRule="auto"/>
        <w:rPr>
          <w:rFonts w:ascii="AvenirNextLTPro-Regular" w:hAnsi="AvenirNextLTPro-Regular"/>
          <w:i/>
          <w:iCs/>
          <w:color w:val="48877A"/>
          <w:sz w:val="26"/>
          <w:szCs w:val="28"/>
        </w:rPr>
      </w:pPr>
      <w:r w:rsidRPr="00FF0DA4">
        <w:rPr>
          <w:rFonts w:ascii="AvenirNextLTPro-Regular" w:hAnsi="AvenirNextLTPro-Regular"/>
          <w:i/>
          <w:iCs/>
          <w:color w:val="48877A"/>
          <w:sz w:val="26"/>
          <w:szCs w:val="28"/>
        </w:rPr>
        <w:t xml:space="preserve">Housing Production </w:t>
      </w:r>
      <w:r w:rsidR="005D6E8E" w:rsidRPr="00FF0DA4">
        <w:rPr>
          <w:rFonts w:ascii="AvenirNextLTPro-Regular" w:hAnsi="AvenirNextLTPro-Regular"/>
          <w:i/>
          <w:iCs/>
          <w:color w:val="48877A"/>
          <w:sz w:val="26"/>
          <w:szCs w:val="28"/>
        </w:rPr>
        <w:t>(10,000 units)</w:t>
      </w:r>
    </w:p>
    <w:p w14:paraId="4DCCCFC9" w14:textId="77777777" w:rsidR="00342B85" w:rsidRDefault="008C129A">
      <w:pPr>
        <w:pStyle w:val="ListParagraph"/>
        <w:numPr>
          <w:ilvl w:val="0"/>
          <w:numId w:val="20"/>
        </w:numPr>
        <w:spacing w:after="0" w:line="240" w:lineRule="auto"/>
        <w:rPr>
          <w:rFonts w:ascii="AvenirNextLTPro-Regular" w:hAnsi="AvenirNextLTPro-Regular"/>
        </w:rPr>
      </w:pPr>
      <w:r>
        <w:rPr>
          <w:rFonts w:ascii="AvenirNextLTPro-Regular" w:hAnsi="AvenirNextLTPro-Regular"/>
        </w:rPr>
        <w:t xml:space="preserve">Build </w:t>
      </w:r>
      <w:r w:rsidR="00DA2537" w:rsidRPr="00FF0DA4">
        <w:rPr>
          <w:rFonts w:ascii="AvenirNextLTPro-Regular" w:hAnsi="AvenirNextLTPro-Regular"/>
        </w:rPr>
        <w:t xml:space="preserve">housing </w:t>
      </w:r>
      <w:r w:rsidR="00A07A30">
        <w:rPr>
          <w:rFonts w:ascii="AvenirNextLTPro-Regular" w:hAnsi="AvenirNextLTPro-Regular"/>
        </w:rPr>
        <w:t xml:space="preserve">types left out of the market </w:t>
      </w:r>
      <w:r w:rsidR="00DC5791">
        <w:rPr>
          <w:rFonts w:ascii="AvenirNextLTPro-Regular" w:hAnsi="AvenirNextLTPro-Regular"/>
        </w:rPr>
        <w:t xml:space="preserve">(requires larger subsidy the smaller the unit </w:t>
      </w:r>
      <w:r w:rsidR="00593163">
        <w:rPr>
          <w:rFonts w:ascii="AvenirNextLTPro-Regular" w:hAnsi="AvenirNextLTPro-Regular"/>
        </w:rPr>
        <w:t>size)</w:t>
      </w:r>
    </w:p>
    <w:p w14:paraId="454C330D" w14:textId="77777777" w:rsidR="00A07A30" w:rsidRDefault="00A07A30" w:rsidP="004B64F2">
      <w:pPr>
        <w:pStyle w:val="ListParagraph"/>
        <w:numPr>
          <w:ilvl w:val="1"/>
          <w:numId w:val="20"/>
        </w:numPr>
        <w:spacing w:after="0" w:line="240" w:lineRule="auto"/>
        <w:rPr>
          <w:rFonts w:ascii="AvenirNextLTPro-Regular" w:hAnsi="AvenirNextLTPro-Regular"/>
        </w:rPr>
      </w:pPr>
      <w:r>
        <w:rPr>
          <w:rFonts w:ascii="AvenirNextLTPro-Regular" w:hAnsi="AvenirNextLTPro-Regular"/>
        </w:rPr>
        <w:t>1 &amp; 2 bedroom needs</w:t>
      </w:r>
      <w:r w:rsidR="00DA2537" w:rsidRPr="00FF0DA4">
        <w:rPr>
          <w:rFonts w:ascii="AvenirNextLTPro-Regular" w:hAnsi="AvenirNextLTPro-Regular"/>
        </w:rPr>
        <w:t xml:space="preserve"> </w:t>
      </w:r>
      <w:r>
        <w:rPr>
          <w:rFonts w:ascii="AvenirNextLTPro-Regular" w:hAnsi="AvenirNextLTPro-Regular"/>
        </w:rPr>
        <w:t>for young families and growing senior population</w:t>
      </w:r>
    </w:p>
    <w:p w14:paraId="174F5C2E" w14:textId="77777777" w:rsidR="00DA2537" w:rsidRPr="00FF0DA4" w:rsidRDefault="00A07A30" w:rsidP="00E710AD">
      <w:pPr>
        <w:pStyle w:val="ListParagraph"/>
        <w:numPr>
          <w:ilvl w:val="0"/>
          <w:numId w:val="20"/>
        </w:numPr>
        <w:spacing w:after="0" w:line="240" w:lineRule="auto"/>
        <w:rPr>
          <w:rFonts w:ascii="AvenirNextLTPro-Regular" w:hAnsi="AvenirNextLTPro-Regular"/>
        </w:rPr>
      </w:pPr>
      <w:r>
        <w:rPr>
          <w:rFonts w:ascii="AvenirNextLTPro-Regular" w:hAnsi="AvenirNextLTPro-Regular"/>
        </w:rPr>
        <w:t>E</w:t>
      </w:r>
      <w:r w:rsidR="00DA2537" w:rsidRPr="00FF0DA4">
        <w:rPr>
          <w:rFonts w:ascii="AvenirNextLTPro-Regular" w:hAnsi="AvenirNextLTPro-Regular"/>
        </w:rPr>
        <w:t xml:space="preserve">xpand </w:t>
      </w:r>
      <w:r w:rsidR="001A6FE6">
        <w:rPr>
          <w:rFonts w:ascii="AvenirNextLTPro-Regular" w:hAnsi="AvenirNextLTPro-Regular"/>
        </w:rPr>
        <w:t>joint venture private sector partnerships to increase</w:t>
      </w:r>
      <w:r w:rsidR="001A6FE6">
        <w:rPr>
          <w:rFonts w:eastAsia="Times New Roman"/>
        </w:rPr>
        <w:t xml:space="preserve"> supply</w:t>
      </w:r>
    </w:p>
    <w:p w14:paraId="5A901E1C" w14:textId="77777777" w:rsidR="00A649C5" w:rsidRPr="00FF0DA4" w:rsidRDefault="00DA2537" w:rsidP="00593163">
      <w:pPr>
        <w:pStyle w:val="ListParagraph"/>
        <w:numPr>
          <w:ilvl w:val="0"/>
          <w:numId w:val="20"/>
        </w:numPr>
        <w:spacing w:after="0" w:line="240" w:lineRule="auto"/>
        <w:rPr>
          <w:rFonts w:ascii="AvenirNextLTPro-Regular" w:hAnsi="AvenirNextLTPro-Regular"/>
        </w:rPr>
      </w:pPr>
      <w:r w:rsidRPr="00FF0DA4">
        <w:rPr>
          <w:rFonts w:ascii="AvenirNextLTPro-Regular" w:hAnsi="AvenirNextLTPro-Regular"/>
        </w:rPr>
        <w:t>Innovate t</w:t>
      </w:r>
      <w:r w:rsidR="00593163">
        <w:rPr>
          <w:rFonts w:ascii="AvenirNextLTPro-Regular" w:hAnsi="AvenirNextLTPro-Regular"/>
        </w:rPr>
        <w:t>hrough reduced regulation</w:t>
      </w:r>
      <w:r w:rsidR="001A6FE6">
        <w:rPr>
          <w:rFonts w:ascii="AvenirNextLTPro-Regular" w:hAnsi="AvenirNextLTPro-Regular"/>
        </w:rPr>
        <w:t xml:space="preserve">, </w:t>
      </w:r>
      <w:r w:rsidR="00593163">
        <w:rPr>
          <w:rFonts w:ascii="AvenirNextLTPro-Regular" w:hAnsi="AvenirNextLTPro-Regular"/>
        </w:rPr>
        <w:t>costs</w:t>
      </w:r>
      <w:r w:rsidR="001A6FE6">
        <w:rPr>
          <w:rFonts w:ascii="AvenirNextLTPro-Regular" w:hAnsi="AvenirNextLTPro-Regular"/>
        </w:rPr>
        <w:t>,</w:t>
      </w:r>
      <w:r w:rsidR="00593163">
        <w:rPr>
          <w:rFonts w:ascii="AvenirNextLTPro-Regular" w:hAnsi="AvenirNextLTPro-Regular"/>
        </w:rPr>
        <w:t xml:space="preserve"> </w:t>
      </w:r>
      <w:r w:rsidR="001A6FE6">
        <w:rPr>
          <w:rFonts w:ascii="AvenirNextLTPro-Regular" w:hAnsi="AvenirNextLTPro-Regular"/>
        </w:rPr>
        <w:t xml:space="preserve">and financial incentives </w:t>
      </w:r>
      <w:r w:rsidR="00593163">
        <w:rPr>
          <w:rFonts w:ascii="AvenirNextLTPro-Regular" w:hAnsi="AvenirNextLTPro-Regular"/>
        </w:rPr>
        <w:t>to lower</w:t>
      </w:r>
      <w:r w:rsidRPr="00FF0DA4">
        <w:rPr>
          <w:rFonts w:ascii="AvenirNextLTPro-Regular" w:hAnsi="AvenirNextLTPro-Regular"/>
        </w:rPr>
        <w:t xml:space="preserve"> </w:t>
      </w:r>
      <w:r w:rsidR="00593163">
        <w:rPr>
          <w:rFonts w:ascii="AvenirNextLTPro-Regular" w:hAnsi="AvenirNextLTPro-Regular"/>
        </w:rPr>
        <w:t xml:space="preserve">the </w:t>
      </w:r>
      <w:r w:rsidRPr="00FF0DA4">
        <w:rPr>
          <w:rFonts w:ascii="AvenirNextLTPro-Regular" w:hAnsi="AvenirNextLTPro-Regular"/>
        </w:rPr>
        <w:t>cost of housing th</w:t>
      </w:r>
      <w:r w:rsidR="000349C6" w:rsidRPr="00FF0DA4">
        <w:rPr>
          <w:rFonts w:ascii="AvenirNextLTPro-Regular" w:hAnsi="AvenirNextLTPro-Regular"/>
        </w:rPr>
        <w:t>u</w:t>
      </w:r>
      <w:r w:rsidRPr="00FF0DA4">
        <w:rPr>
          <w:rFonts w:ascii="AvenirNextLTPro-Regular" w:hAnsi="AvenirNextLTPro-Regular"/>
        </w:rPr>
        <w:t>s reducing gap between cost and affordable rent/sales price</w:t>
      </w:r>
    </w:p>
    <w:p w14:paraId="65E00A5C" w14:textId="77777777" w:rsidR="005969A1" w:rsidRPr="00FF0DA4" w:rsidRDefault="005969A1">
      <w:pPr>
        <w:pStyle w:val="ListParagraph"/>
        <w:spacing w:after="0" w:line="240" w:lineRule="auto"/>
        <w:ind w:left="180"/>
        <w:rPr>
          <w:rFonts w:ascii="AvenirNextLTPro-Regular" w:hAnsi="AvenirNextLTPro-Regular"/>
        </w:rPr>
      </w:pPr>
    </w:p>
    <w:p w14:paraId="5EFA64BB" w14:textId="77777777" w:rsidR="007B18B4" w:rsidRPr="00FF0DA4" w:rsidRDefault="007B18B4">
      <w:pPr>
        <w:spacing w:after="0" w:line="240" w:lineRule="auto"/>
        <w:rPr>
          <w:rFonts w:ascii="AvenirNextLTPro-Regular" w:hAnsi="AvenirNextLTPro-Regular"/>
          <w:i/>
          <w:iCs/>
          <w:color w:val="48877A"/>
          <w:sz w:val="26"/>
          <w:szCs w:val="28"/>
        </w:rPr>
      </w:pPr>
      <w:r w:rsidRPr="00FF0DA4">
        <w:rPr>
          <w:rFonts w:ascii="AvenirNextLTPro-Regular" w:hAnsi="AvenirNextLTPro-Regular"/>
          <w:i/>
          <w:iCs/>
          <w:color w:val="48877A"/>
          <w:sz w:val="26"/>
          <w:szCs w:val="28"/>
        </w:rPr>
        <w:t>Housing Locations</w:t>
      </w:r>
    </w:p>
    <w:p w14:paraId="46F736B2" w14:textId="77777777" w:rsidR="001F42B3" w:rsidRPr="004B64F2" w:rsidRDefault="004503C8" w:rsidP="004B64F2">
      <w:pPr>
        <w:spacing w:after="0" w:line="240" w:lineRule="auto"/>
        <w:rPr>
          <w:rFonts w:ascii="AvenirNextLTPro-Regular" w:hAnsi="AvenirNextLTPro-Regular"/>
        </w:rPr>
        <w:sectPr w:rsidR="001F42B3" w:rsidRPr="004B64F2" w:rsidSect="001B5127">
          <w:type w:val="continuous"/>
          <w:pgSz w:w="12240" w:h="15840"/>
          <w:pgMar w:top="1080" w:right="1620" w:bottom="1440" w:left="1440" w:header="720" w:footer="720" w:gutter="0"/>
          <w:cols w:space="720"/>
          <w:docGrid w:linePitch="360"/>
        </w:sectPr>
      </w:pPr>
      <w:r w:rsidRPr="00FF0DA4">
        <w:rPr>
          <w:rFonts w:ascii="AvenirNextLTPro-Regular" w:hAnsi="AvenirNextLTPro-Regular"/>
        </w:rPr>
        <w:t>Identified locations</w:t>
      </w:r>
      <w:r w:rsidR="002A630E" w:rsidRPr="00FF0DA4">
        <w:rPr>
          <w:rFonts w:ascii="AvenirNextLTPro-Regular" w:hAnsi="AvenirNextLTPro-Regular"/>
        </w:rPr>
        <w:t xml:space="preserve"> throughout the county, city, and municipalities</w:t>
      </w:r>
      <w:r w:rsidRPr="00FF0DA4">
        <w:rPr>
          <w:rFonts w:ascii="AvenirNextLTPro-Regular" w:hAnsi="AvenirNextLTPro-Regular"/>
        </w:rPr>
        <w:t xml:space="preserve"> for affordable housing </w:t>
      </w:r>
      <w:r w:rsidR="007E51DB" w:rsidRPr="00FF0DA4">
        <w:rPr>
          <w:rFonts w:ascii="AvenirNextLTPro-Regular" w:hAnsi="AvenirNextLTPro-Regular"/>
        </w:rPr>
        <w:t>in proximity to</w:t>
      </w:r>
      <w:r w:rsidR="00593163">
        <w:rPr>
          <w:rFonts w:ascii="AvenirNextLTPro-Regular" w:hAnsi="AvenirNextLTPro-Regular"/>
        </w:rPr>
        <w:t xml:space="preserve"> reduce urban sprawl, reduce service costs, and efficiently manage land. </w:t>
      </w:r>
    </w:p>
    <w:p w14:paraId="14FA1F90" w14:textId="77777777" w:rsidR="002A630E" w:rsidRPr="00FF0DA4" w:rsidRDefault="002A630E">
      <w:pPr>
        <w:pStyle w:val="ListParagraph"/>
        <w:numPr>
          <w:ilvl w:val="0"/>
          <w:numId w:val="15"/>
        </w:numPr>
        <w:spacing w:after="0" w:line="240" w:lineRule="auto"/>
        <w:rPr>
          <w:rFonts w:ascii="AvenirNextLTPro-Regular" w:hAnsi="AvenirNextLTPro-Regular"/>
        </w:rPr>
      </w:pPr>
      <w:r w:rsidRPr="00FF0DA4">
        <w:rPr>
          <w:rFonts w:ascii="AvenirNextLTPro-Regular" w:hAnsi="AvenirNextLTPro-Regular"/>
        </w:rPr>
        <w:t>Commercial</w:t>
      </w:r>
      <w:r w:rsidR="00F839CC" w:rsidRPr="00FF0DA4">
        <w:rPr>
          <w:rFonts w:ascii="AvenirNextLTPro-Regular" w:hAnsi="AvenirNextLTPro-Regular"/>
        </w:rPr>
        <w:t>, Retail, &amp; Office</w:t>
      </w:r>
    </w:p>
    <w:p w14:paraId="5A998312" w14:textId="77777777" w:rsidR="007E51DB" w:rsidRPr="00FF0DA4" w:rsidRDefault="007E51DB">
      <w:pPr>
        <w:pStyle w:val="ListParagraph"/>
        <w:numPr>
          <w:ilvl w:val="0"/>
          <w:numId w:val="15"/>
        </w:numPr>
        <w:spacing w:after="0" w:line="240" w:lineRule="auto"/>
        <w:rPr>
          <w:rFonts w:ascii="AvenirNextLTPro-Regular" w:hAnsi="AvenirNextLTPro-Regular"/>
        </w:rPr>
      </w:pPr>
      <w:r w:rsidRPr="00FF0DA4">
        <w:rPr>
          <w:rFonts w:ascii="AvenirNextLTPro-Regular" w:hAnsi="AvenirNextLTPro-Regular"/>
        </w:rPr>
        <w:t>S</w:t>
      </w:r>
      <w:r w:rsidR="0091294F" w:rsidRPr="00FF0DA4">
        <w:rPr>
          <w:rFonts w:ascii="AvenirNextLTPro-Regular" w:hAnsi="AvenirNextLTPro-Regular"/>
        </w:rPr>
        <w:t xml:space="preserve">ervices </w:t>
      </w:r>
    </w:p>
    <w:p w14:paraId="4E462660" w14:textId="77777777" w:rsidR="00852CBF" w:rsidRPr="00FF0DA4" w:rsidRDefault="007E51DB">
      <w:pPr>
        <w:pStyle w:val="ListParagraph"/>
        <w:numPr>
          <w:ilvl w:val="0"/>
          <w:numId w:val="15"/>
        </w:numPr>
        <w:spacing w:after="0" w:line="240" w:lineRule="auto"/>
        <w:rPr>
          <w:rFonts w:ascii="AvenirNextLTPro-Regular" w:hAnsi="AvenirNextLTPro-Regular"/>
        </w:rPr>
      </w:pPr>
      <w:r w:rsidRPr="00FF0DA4">
        <w:rPr>
          <w:rFonts w:ascii="AvenirNextLTPro-Regular" w:hAnsi="AvenirNextLTPro-Regular"/>
        </w:rPr>
        <w:t>E</w:t>
      </w:r>
      <w:r w:rsidR="0091294F" w:rsidRPr="00FF0DA4">
        <w:rPr>
          <w:rFonts w:ascii="AvenirNextLTPro-Regular" w:hAnsi="AvenirNextLTPro-Regular"/>
        </w:rPr>
        <w:t>mployment</w:t>
      </w:r>
    </w:p>
    <w:p w14:paraId="743B0CBC" w14:textId="77777777" w:rsidR="007E51DB" w:rsidRPr="00FF0DA4" w:rsidRDefault="007E51DB">
      <w:pPr>
        <w:pStyle w:val="ListParagraph"/>
        <w:numPr>
          <w:ilvl w:val="0"/>
          <w:numId w:val="15"/>
        </w:numPr>
        <w:spacing w:after="0" w:line="240" w:lineRule="auto"/>
        <w:rPr>
          <w:rFonts w:ascii="AvenirNextLTPro-Regular" w:hAnsi="AvenirNextLTPro-Regular"/>
        </w:rPr>
      </w:pPr>
      <w:r w:rsidRPr="00FF0DA4">
        <w:rPr>
          <w:rFonts w:ascii="AvenirNextLTPro-Regular" w:hAnsi="AvenirNextLTPro-Regular"/>
        </w:rPr>
        <w:t>E</w:t>
      </w:r>
      <w:r w:rsidR="0091294F" w:rsidRPr="00FF0DA4">
        <w:rPr>
          <w:rFonts w:ascii="AvenirNextLTPro-Regular" w:hAnsi="AvenirNextLTPro-Regular"/>
        </w:rPr>
        <w:t>ducation</w:t>
      </w:r>
    </w:p>
    <w:p w14:paraId="18647CAA" w14:textId="77777777" w:rsidR="00040C77" w:rsidRPr="00FF0DA4" w:rsidRDefault="007E51DB">
      <w:pPr>
        <w:pStyle w:val="ListParagraph"/>
        <w:numPr>
          <w:ilvl w:val="0"/>
          <w:numId w:val="15"/>
        </w:numPr>
        <w:spacing w:after="0" w:line="240" w:lineRule="auto"/>
        <w:rPr>
          <w:rFonts w:ascii="AvenirNextLTPro-Regular" w:hAnsi="AvenirNextLTPro-Regular"/>
        </w:rPr>
      </w:pPr>
      <w:r w:rsidRPr="00FF0DA4">
        <w:rPr>
          <w:rFonts w:ascii="AvenirNextLTPro-Regular" w:hAnsi="AvenirNextLTPro-Regular"/>
        </w:rPr>
        <w:t>T</w:t>
      </w:r>
      <w:r w:rsidR="0091294F" w:rsidRPr="00FF0DA4">
        <w:rPr>
          <w:rFonts w:ascii="AvenirNextLTPro-Regular" w:hAnsi="AvenirNextLTPro-Regular"/>
        </w:rPr>
        <w:t>rans</w:t>
      </w:r>
      <w:r w:rsidR="00CB0096" w:rsidRPr="00FF0DA4">
        <w:rPr>
          <w:rFonts w:ascii="AvenirNextLTPro-Regular" w:hAnsi="AvenirNextLTPro-Regular"/>
        </w:rPr>
        <w:t>it</w:t>
      </w:r>
    </w:p>
    <w:p w14:paraId="620F3CAE" w14:textId="77777777" w:rsidR="00852CBF" w:rsidRPr="00FF0DA4" w:rsidRDefault="00852CBF">
      <w:pPr>
        <w:spacing w:after="0" w:line="240" w:lineRule="auto"/>
        <w:rPr>
          <w:rFonts w:ascii="AvenirNextLTPro-Regular" w:hAnsi="AvenirNextLTPro-Regular"/>
          <w:i/>
          <w:iCs/>
          <w:color w:val="48877A"/>
        </w:rPr>
        <w:sectPr w:rsidR="00852CBF" w:rsidRPr="00FF0DA4" w:rsidSect="00852CBF">
          <w:type w:val="continuous"/>
          <w:pgSz w:w="12240" w:h="15840"/>
          <w:pgMar w:top="1080" w:right="1620" w:bottom="1440" w:left="1440" w:header="720" w:footer="720" w:gutter="0"/>
          <w:cols w:num="2" w:space="720"/>
          <w:docGrid w:linePitch="360"/>
        </w:sectPr>
      </w:pPr>
    </w:p>
    <w:p w14:paraId="7D97BE84" w14:textId="77777777" w:rsidR="005969A1" w:rsidRPr="00FF0DA4" w:rsidRDefault="005969A1">
      <w:pPr>
        <w:spacing w:after="0" w:line="240" w:lineRule="auto"/>
        <w:rPr>
          <w:rFonts w:ascii="AvenirNextLTPro-Regular" w:hAnsi="AvenirNextLTPro-Regular"/>
          <w:i/>
          <w:iCs/>
          <w:color w:val="48877A"/>
        </w:rPr>
      </w:pPr>
    </w:p>
    <w:p w14:paraId="4174CFF4" w14:textId="77777777" w:rsidR="007B18B4" w:rsidRPr="00FF0DA4" w:rsidRDefault="007B18B4">
      <w:pPr>
        <w:spacing w:after="0" w:line="240" w:lineRule="auto"/>
        <w:rPr>
          <w:rFonts w:ascii="AvenirNextLTPro-Regular" w:hAnsi="AvenirNextLTPro-Regular"/>
          <w:i/>
          <w:iCs/>
          <w:color w:val="48877A"/>
          <w:sz w:val="26"/>
          <w:szCs w:val="28"/>
        </w:rPr>
      </w:pPr>
      <w:r w:rsidRPr="00FF0DA4">
        <w:rPr>
          <w:rFonts w:ascii="AvenirNextLTPro-Regular" w:hAnsi="AvenirNextLTPro-Regular"/>
          <w:i/>
          <w:iCs/>
          <w:color w:val="48877A"/>
          <w:sz w:val="26"/>
          <w:szCs w:val="28"/>
        </w:rPr>
        <w:t xml:space="preserve">Housing Tools </w:t>
      </w:r>
    </w:p>
    <w:p w14:paraId="395AA32D" w14:textId="77777777" w:rsidR="00E25A0D" w:rsidRPr="00FF0DA4" w:rsidRDefault="00E25A0D">
      <w:pPr>
        <w:pStyle w:val="ListParagraph"/>
        <w:numPr>
          <w:ilvl w:val="0"/>
          <w:numId w:val="21"/>
        </w:numPr>
        <w:spacing w:after="0" w:line="240" w:lineRule="auto"/>
        <w:rPr>
          <w:rFonts w:ascii="AvenirNextLTPro-Regular" w:hAnsi="AvenirNextLTPro-Regular"/>
        </w:rPr>
      </w:pPr>
      <w:r w:rsidRPr="00FF0DA4">
        <w:rPr>
          <w:rFonts w:ascii="AvenirNextLTPro-Regular" w:hAnsi="AvenirNextLTPro-Regular"/>
        </w:rPr>
        <w:t>U</w:t>
      </w:r>
      <w:r w:rsidR="004503C8" w:rsidRPr="00FF0DA4">
        <w:rPr>
          <w:rFonts w:ascii="AvenirNextLTPro-Regular" w:hAnsi="AvenirNextLTPro-Regular"/>
        </w:rPr>
        <w:t>tilizing local, state</w:t>
      </w:r>
      <w:r w:rsidR="00852CBF" w:rsidRPr="00FF0DA4">
        <w:rPr>
          <w:rFonts w:ascii="AvenirNextLTPro-Regular" w:hAnsi="AvenirNextLTPro-Regular"/>
        </w:rPr>
        <w:t>,</w:t>
      </w:r>
      <w:r w:rsidR="004503C8" w:rsidRPr="00FF0DA4">
        <w:rPr>
          <w:rFonts w:ascii="AvenirNextLTPro-Regular" w:hAnsi="AvenirNextLTPro-Regular"/>
        </w:rPr>
        <w:t xml:space="preserve"> and federal tax credits and incentives</w:t>
      </w:r>
    </w:p>
    <w:p w14:paraId="6532BF86" w14:textId="77777777" w:rsidR="00852CBF" w:rsidRPr="00FF0DA4" w:rsidRDefault="00E25A0D">
      <w:pPr>
        <w:pStyle w:val="ListParagraph"/>
        <w:numPr>
          <w:ilvl w:val="0"/>
          <w:numId w:val="21"/>
        </w:numPr>
        <w:spacing w:after="0" w:line="240" w:lineRule="auto"/>
        <w:rPr>
          <w:rFonts w:ascii="AvenirNextLTPro-Regular" w:hAnsi="AvenirNextLTPro-Regular"/>
        </w:rPr>
      </w:pPr>
      <w:r w:rsidRPr="00FF0DA4">
        <w:rPr>
          <w:rFonts w:ascii="AvenirNextLTPro-Regular" w:hAnsi="AvenirNextLTPro-Regular"/>
        </w:rPr>
        <w:t>L</w:t>
      </w:r>
      <w:r w:rsidR="004503C8" w:rsidRPr="00FF0DA4">
        <w:rPr>
          <w:rFonts w:ascii="AvenirNextLTPro-Regular" w:hAnsi="AvenirNextLTPro-Regular"/>
        </w:rPr>
        <w:t>and banking</w:t>
      </w:r>
      <w:r w:rsidRPr="00FF0DA4">
        <w:rPr>
          <w:rFonts w:ascii="AvenirNextLTPro-Regular" w:hAnsi="AvenirNextLTPro-Regular"/>
        </w:rPr>
        <w:t xml:space="preserve"> </w:t>
      </w:r>
    </w:p>
    <w:p w14:paraId="66EA7123" w14:textId="77777777" w:rsidR="00852CBF" w:rsidRPr="00FF0DA4" w:rsidRDefault="00852CBF">
      <w:pPr>
        <w:pStyle w:val="ListParagraph"/>
        <w:numPr>
          <w:ilvl w:val="0"/>
          <w:numId w:val="21"/>
        </w:numPr>
        <w:spacing w:after="0" w:line="240" w:lineRule="auto"/>
        <w:rPr>
          <w:rFonts w:ascii="AvenirNextLTPro-Regular" w:hAnsi="AvenirNextLTPro-Regular"/>
        </w:rPr>
      </w:pPr>
      <w:r w:rsidRPr="00FF0DA4">
        <w:rPr>
          <w:rFonts w:ascii="AvenirNextLTPro-Regular" w:hAnsi="AvenirNextLTPro-Regular"/>
        </w:rPr>
        <w:t>O</w:t>
      </w:r>
      <w:r w:rsidR="004503C8" w:rsidRPr="00FF0DA4">
        <w:rPr>
          <w:rFonts w:ascii="AvenirNextLTPro-Regular" w:hAnsi="AvenirNextLTPro-Regular"/>
        </w:rPr>
        <w:t xml:space="preserve">pportunity funds </w:t>
      </w:r>
    </w:p>
    <w:p w14:paraId="4B03366A" w14:textId="77777777" w:rsidR="007B18B4" w:rsidRPr="00FF0DA4" w:rsidRDefault="00852CBF">
      <w:pPr>
        <w:pStyle w:val="ListParagraph"/>
        <w:numPr>
          <w:ilvl w:val="0"/>
          <w:numId w:val="21"/>
        </w:numPr>
        <w:spacing w:after="0" w:line="240" w:lineRule="auto"/>
        <w:rPr>
          <w:rFonts w:ascii="AvenirNextLTPro-Regular" w:hAnsi="AvenirNextLTPro-Regular"/>
        </w:rPr>
      </w:pPr>
      <w:r w:rsidRPr="00FF0DA4">
        <w:rPr>
          <w:rFonts w:ascii="AvenirNextLTPro-Regular" w:hAnsi="AvenirNextLTPro-Regular"/>
        </w:rPr>
        <w:t>I</w:t>
      </w:r>
      <w:r w:rsidR="004503C8" w:rsidRPr="00FF0DA4">
        <w:rPr>
          <w:rFonts w:ascii="AvenirNextLTPro-Regular" w:hAnsi="AvenirNextLTPro-Regular"/>
        </w:rPr>
        <w:t>nnovative partnerships</w:t>
      </w:r>
    </w:p>
    <w:p w14:paraId="554B4D29" w14:textId="77777777" w:rsidR="00A97586" w:rsidRPr="00FF0DA4" w:rsidRDefault="00A97586">
      <w:pPr>
        <w:autoSpaceDE w:val="0"/>
        <w:autoSpaceDN w:val="0"/>
        <w:adjustRightInd w:val="0"/>
        <w:spacing w:after="0" w:line="240" w:lineRule="auto"/>
        <w:rPr>
          <w:rFonts w:ascii="AvenirNextLTPro-Regular" w:hAnsi="AvenirNextLTPro-Regular" w:cs="AvenirNextLTPro-Regular"/>
          <w:color w:val="48877A"/>
        </w:rPr>
      </w:pPr>
    </w:p>
    <w:p w14:paraId="44DBF0C4" w14:textId="77777777" w:rsidR="00A848EE" w:rsidRPr="00FF0DA4" w:rsidRDefault="00113839">
      <w:pPr>
        <w:autoSpaceDE w:val="0"/>
        <w:autoSpaceDN w:val="0"/>
        <w:adjustRightInd w:val="0"/>
        <w:spacing w:after="0" w:line="240" w:lineRule="auto"/>
        <w:rPr>
          <w:rFonts w:ascii="AvenirNextLTPro-Regular" w:hAnsi="AvenirNextLTPro-Regular" w:cs="AvenirNextLTPro-Regular"/>
          <w:i/>
          <w:iCs/>
          <w:color w:val="48877A"/>
          <w:sz w:val="26"/>
          <w:szCs w:val="26"/>
        </w:rPr>
      </w:pPr>
      <w:r w:rsidRPr="00FF0DA4">
        <w:rPr>
          <w:rFonts w:ascii="AvenirNextLTPro-Regular" w:hAnsi="AvenirNextLTPro-Regular" w:cs="AvenirNextLTPro-Regular"/>
          <w:i/>
          <w:iCs/>
          <w:color w:val="48877A"/>
          <w:sz w:val="26"/>
          <w:szCs w:val="26"/>
        </w:rPr>
        <w:t>Organizational Capacity Building</w:t>
      </w:r>
    </w:p>
    <w:p w14:paraId="44B064FF" w14:textId="77777777" w:rsidR="00EA3B23" w:rsidRPr="00FF0DA4" w:rsidRDefault="00F75C2B" w:rsidP="00EA3B23">
      <w:pPr>
        <w:spacing w:after="0" w:line="240" w:lineRule="auto"/>
        <w:rPr>
          <w:rFonts w:ascii="AvenirNextLTPro-Regular" w:hAnsi="AvenirNextLTPro-Regular"/>
        </w:rPr>
      </w:pPr>
      <w:r w:rsidRPr="00FF0DA4">
        <w:rPr>
          <w:rFonts w:ascii="AvenirNextLTPro-Regular" w:hAnsi="AvenirNextLTPro-Regular" w:cs="AvenirNextLTPro-Regular"/>
        </w:rPr>
        <w:t xml:space="preserve">This </w:t>
      </w:r>
      <w:r w:rsidR="00593163">
        <w:rPr>
          <w:rFonts w:ascii="AvenirNextLTPro-Regular" w:hAnsi="AvenirNextLTPro-Regular" w:cs="AvenirNextLTPro-Regular"/>
        </w:rPr>
        <w:t xml:space="preserve">plan </w:t>
      </w:r>
      <w:r w:rsidRPr="00FF0DA4">
        <w:rPr>
          <w:rFonts w:ascii="AvenirNextLTPro-Regular" w:hAnsi="AvenirNextLTPro-Regular" w:cs="AvenirNextLTPro-Regular"/>
        </w:rPr>
        <w:t>cannot be done without</w:t>
      </w:r>
      <w:r w:rsidR="00E42D9B">
        <w:rPr>
          <w:rFonts w:ascii="AvenirNextLTPro-Regular" w:hAnsi="AvenirNextLTPro-Regular" w:cs="AvenirNextLTPro-Regular"/>
        </w:rPr>
        <w:t xml:space="preserve"> </w:t>
      </w:r>
      <w:r w:rsidRPr="00FF0DA4">
        <w:rPr>
          <w:rFonts w:ascii="AvenirNextLTPro-Regular" w:hAnsi="AvenirNextLTPro-Regular" w:cs="AvenirNextLTPro-Regular"/>
        </w:rPr>
        <w:t xml:space="preserve">cooperation and coordination with governments, </w:t>
      </w:r>
      <w:r w:rsidR="007B18B4" w:rsidRPr="00FF0DA4">
        <w:rPr>
          <w:rFonts w:ascii="AvenirNextLTPro-Regular" w:hAnsi="AvenirNextLTPro-Regular" w:cs="AvenirNextLTPro-Regular"/>
        </w:rPr>
        <w:t>non-profits, private development, and</w:t>
      </w:r>
      <w:r w:rsidR="00E42D9B">
        <w:rPr>
          <w:rFonts w:ascii="AvenirNextLTPro-Regular" w:hAnsi="AvenirNextLTPro-Regular" w:cs="AvenirNextLTPro-Regular"/>
        </w:rPr>
        <w:t xml:space="preserve"> </w:t>
      </w:r>
      <w:r w:rsidR="007B18B4" w:rsidRPr="00FF0DA4">
        <w:rPr>
          <w:rFonts w:ascii="AvenirNextLTPro-Regular" w:hAnsi="AvenirNextLTPro-Regular" w:cs="AvenirNextLTPro-Regular"/>
        </w:rPr>
        <w:t xml:space="preserve">neighborhoods. </w:t>
      </w:r>
      <w:r w:rsidR="00EA3B23" w:rsidRPr="00FF0DA4">
        <w:rPr>
          <w:rFonts w:ascii="AvenirNextLTPro-Regular" w:hAnsi="AvenirNextLTPro-Regular"/>
        </w:rPr>
        <w:t xml:space="preserve">To implement this plan and support these strategies, GHF </w:t>
      </w:r>
      <w:r w:rsidR="00EA3B23">
        <w:rPr>
          <w:rFonts w:ascii="AvenirNextLTPro-Regular" w:hAnsi="AvenirNextLTPro-Regular"/>
        </w:rPr>
        <w:t>is launching</w:t>
      </w:r>
      <w:r w:rsidR="00EA3B23" w:rsidRPr="00FF0DA4">
        <w:rPr>
          <w:rFonts w:ascii="AvenirNextLTPro-Regular" w:hAnsi="AvenirNextLTPro-Regular"/>
        </w:rPr>
        <w:t xml:space="preserve"> the Greenville Affordable Housing Coalition. The Coalition is comprised of </w:t>
      </w:r>
      <w:r w:rsidR="00EA3B23">
        <w:rPr>
          <w:rFonts w:ascii="AvenirNextLTPro-Regular" w:hAnsi="AvenirNextLTPro-Regular"/>
        </w:rPr>
        <w:t>40</w:t>
      </w:r>
      <w:r w:rsidR="00EA3B23" w:rsidRPr="00FF0DA4">
        <w:rPr>
          <w:rFonts w:ascii="AvenirNextLTPro-Regular" w:hAnsi="AvenirNextLTPro-Regular"/>
        </w:rPr>
        <w:t xml:space="preserve"> organizations with members from non-profits, neighborhoods, government, </w:t>
      </w:r>
      <w:r w:rsidR="00EA3B23">
        <w:rPr>
          <w:rFonts w:ascii="AvenirNextLTPro-Regular" w:hAnsi="AvenirNextLTPro-Regular"/>
        </w:rPr>
        <w:t>and private development to carry out these strategies.</w:t>
      </w:r>
      <w:r w:rsidR="00EA3B23" w:rsidRPr="00FF0DA4">
        <w:rPr>
          <w:rFonts w:ascii="AvenirNextLTPro-Regular" w:hAnsi="AvenirNextLTPro-Regular"/>
        </w:rPr>
        <w:t xml:space="preserve"> </w:t>
      </w:r>
    </w:p>
    <w:p w14:paraId="3E1F63A7" w14:textId="77777777" w:rsidR="00040C77" w:rsidRPr="00FF0DA4" w:rsidRDefault="00040C77">
      <w:pPr>
        <w:autoSpaceDE w:val="0"/>
        <w:autoSpaceDN w:val="0"/>
        <w:adjustRightInd w:val="0"/>
        <w:spacing w:after="0" w:line="240" w:lineRule="auto"/>
        <w:rPr>
          <w:rFonts w:ascii="AvenirNextLTPro-Regular" w:hAnsi="AvenirNextLTPro-Regular" w:cs="AvenirNextLTPro-Regular"/>
        </w:rPr>
      </w:pPr>
    </w:p>
    <w:p w14:paraId="553ECF6A" w14:textId="77777777" w:rsidR="007A3EEA" w:rsidRPr="00FF0DA4" w:rsidRDefault="00975CDB">
      <w:pPr>
        <w:autoSpaceDE w:val="0"/>
        <w:autoSpaceDN w:val="0"/>
        <w:adjustRightInd w:val="0"/>
        <w:spacing w:after="0" w:line="240" w:lineRule="auto"/>
        <w:rPr>
          <w:rFonts w:ascii="AvenirNextLTPro-Regular" w:hAnsi="AvenirNextLTPro-Regular" w:cs="AvenirNextLTPro-Demi"/>
          <w:color w:val="48877A"/>
          <w:sz w:val="26"/>
          <w:szCs w:val="26"/>
        </w:rPr>
      </w:pPr>
      <w:r w:rsidRPr="00FF0DA4">
        <w:rPr>
          <w:rFonts w:ascii="AvenirNextLTPro-Regular" w:hAnsi="AvenirNextLTPro-Regular" w:cs="AvenirNextLTPro-Demi"/>
          <w:color w:val="48877A"/>
          <w:sz w:val="26"/>
          <w:szCs w:val="26"/>
        </w:rPr>
        <w:t>Conclusion</w:t>
      </w:r>
    </w:p>
    <w:p w14:paraId="65A7F5DD" w14:textId="77777777" w:rsidR="009F232A" w:rsidRPr="00FF0DA4" w:rsidRDefault="003D0F4A">
      <w:pPr>
        <w:spacing w:after="0" w:line="240" w:lineRule="auto"/>
        <w:rPr>
          <w:rFonts w:ascii="AvenirNextLTPro-Regular" w:hAnsi="AvenirNextLTPro-Regular"/>
        </w:rPr>
      </w:pPr>
      <w:r>
        <w:rPr>
          <w:rFonts w:ascii="AvenirNextLTPro-Regular" w:hAnsi="AvenirNextLTPro-Regular"/>
        </w:rPr>
        <w:t>W</w:t>
      </w:r>
      <w:r w:rsidR="00EA3B23">
        <w:rPr>
          <w:rFonts w:ascii="AvenirNextLTPro-Regular" w:hAnsi="AvenirNextLTPro-Regular"/>
        </w:rPr>
        <w:t>e can drastically impact the future quality of life for many in our city and county</w:t>
      </w:r>
      <w:r w:rsidR="00405704" w:rsidRPr="00405704">
        <w:rPr>
          <w:rFonts w:ascii="AvenirNextLTPro-Regular" w:hAnsi="AvenirNextLTPro-Regular"/>
        </w:rPr>
        <w:t xml:space="preserve"> </w:t>
      </w:r>
      <w:r>
        <w:rPr>
          <w:rFonts w:ascii="AvenirNextLTPro-Regular" w:hAnsi="AvenirNextLTPro-Regular"/>
        </w:rPr>
        <w:t>w</w:t>
      </w:r>
      <w:r w:rsidR="00405704">
        <w:rPr>
          <w:rFonts w:ascii="AvenirNextLTPro-Regular" w:hAnsi="AvenirNextLTPro-Regular"/>
        </w:rPr>
        <w:t xml:space="preserve">ith strategic </w:t>
      </w:r>
      <w:r>
        <w:rPr>
          <w:rFonts w:ascii="AvenirNextLTPro-Regular" w:hAnsi="AvenirNextLTPro-Regular"/>
        </w:rPr>
        <w:t xml:space="preserve">local </w:t>
      </w:r>
      <w:r w:rsidR="00405704">
        <w:rPr>
          <w:rFonts w:ascii="AvenirNextLTPro-Regular" w:hAnsi="AvenirNextLTPro-Regular"/>
        </w:rPr>
        <w:t>public investment</w:t>
      </w:r>
      <w:r>
        <w:rPr>
          <w:rFonts w:ascii="AvenirNextLTPro-Regular" w:hAnsi="AvenirNextLTPro-Regular"/>
        </w:rPr>
        <w:t xml:space="preserve"> and effective stewardship</w:t>
      </w:r>
      <w:r w:rsidR="00EA3B23">
        <w:rPr>
          <w:rFonts w:ascii="AvenirNextLTPro-Regular" w:hAnsi="AvenirNextLTPro-Regular"/>
        </w:rPr>
        <w:t xml:space="preserve">. </w:t>
      </w:r>
      <w:r>
        <w:rPr>
          <w:rFonts w:ascii="AvenirNextLTPro-Regular" w:hAnsi="AvenirNextLTPro-Regular"/>
        </w:rPr>
        <w:t>This plan will</w:t>
      </w:r>
      <w:r w:rsidR="00EA3B23">
        <w:rPr>
          <w:rFonts w:ascii="AvenirNextLTPro-Regular" w:hAnsi="AvenirNextLTPro-Regular"/>
        </w:rPr>
        <w:t xml:space="preserve"> create</w:t>
      </w:r>
      <w:r w:rsidR="00735346">
        <w:rPr>
          <w:rFonts w:ascii="AvenirNextLTPro-Regular" w:hAnsi="AvenirNextLTPro-Regular"/>
        </w:rPr>
        <w:t xml:space="preserve"> and preserve</w:t>
      </w:r>
      <w:r w:rsidR="00EA3B23">
        <w:rPr>
          <w:rFonts w:ascii="AvenirNextLTPro-Regular" w:hAnsi="AvenirNextLTPro-Regular"/>
        </w:rPr>
        <w:t xml:space="preserve"> 13,000 affordable homes over the next decade</w:t>
      </w:r>
      <w:r>
        <w:rPr>
          <w:rFonts w:ascii="AvenirNextLTPro-Regular" w:hAnsi="AvenirNextLTPro-Regular"/>
        </w:rPr>
        <w:t xml:space="preserve">. While it will require a significant local public investment, it also </w:t>
      </w:r>
      <w:r w:rsidR="00735346">
        <w:rPr>
          <w:rFonts w:ascii="AvenirNextLTPro-Regular" w:hAnsi="AvenirNextLTPro-Regular"/>
        </w:rPr>
        <w:t>leverag</w:t>
      </w:r>
      <w:r>
        <w:rPr>
          <w:rFonts w:ascii="AvenirNextLTPro-Regular" w:hAnsi="AvenirNextLTPro-Regular"/>
        </w:rPr>
        <w:t>es</w:t>
      </w:r>
      <w:r w:rsidR="00735346">
        <w:rPr>
          <w:rFonts w:ascii="AvenirNextLTPro-Regular" w:hAnsi="AvenirNextLTPro-Regular"/>
        </w:rPr>
        <w:t xml:space="preserve"> </w:t>
      </w:r>
      <w:r>
        <w:rPr>
          <w:rFonts w:ascii="AvenirNextLTPro-Regular" w:hAnsi="AvenirNextLTPro-Regular"/>
        </w:rPr>
        <w:t xml:space="preserve">multiple capital sources as well as </w:t>
      </w:r>
      <w:r w:rsidR="00735346">
        <w:rPr>
          <w:rFonts w:ascii="AvenirNextLTPro-Regular" w:hAnsi="AvenirNextLTPro-Regular"/>
        </w:rPr>
        <w:t>the above strategies to reduce costs</w:t>
      </w:r>
      <w:r w:rsidR="00EA3B23">
        <w:rPr>
          <w:rFonts w:ascii="AvenirNextLTPro-Regular" w:hAnsi="AvenirNextLTPro-Regular"/>
        </w:rPr>
        <w:t xml:space="preserve">, </w:t>
      </w:r>
      <w:r>
        <w:rPr>
          <w:rFonts w:ascii="AvenirNextLTPro-Regular" w:hAnsi="AvenirNextLTPro-Regular"/>
        </w:rPr>
        <w:t xml:space="preserve">encourage economic development, </w:t>
      </w:r>
      <w:r w:rsidR="00EA3B23">
        <w:rPr>
          <w:rFonts w:ascii="AvenirNextLTPro-Regular" w:hAnsi="AvenirNextLTPro-Regular"/>
        </w:rPr>
        <w:t>enhanc</w:t>
      </w:r>
      <w:r>
        <w:rPr>
          <w:rFonts w:ascii="AvenirNextLTPro-Regular" w:hAnsi="AvenirNextLTPro-Regular"/>
        </w:rPr>
        <w:t>e</w:t>
      </w:r>
      <w:r w:rsidR="00EA3B23">
        <w:rPr>
          <w:rFonts w:ascii="AvenirNextLTPro-Regular" w:hAnsi="AvenirNextLTPro-Regular"/>
        </w:rPr>
        <w:t xml:space="preserve"> economic mobility, </w:t>
      </w:r>
      <w:r>
        <w:rPr>
          <w:rFonts w:ascii="AvenirNextLTPro-Regular" w:hAnsi="AvenirNextLTPro-Regular"/>
        </w:rPr>
        <w:t xml:space="preserve">and </w:t>
      </w:r>
      <w:r w:rsidR="00EA3B23">
        <w:rPr>
          <w:rFonts w:ascii="AvenirNextLTPro-Regular" w:hAnsi="AvenirNextLTPro-Regular"/>
        </w:rPr>
        <w:t xml:space="preserve">improve health and educational outcomes for years to come. </w:t>
      </w:r>
    </w:p>
    <w:sectPr w:rsidR="009F232A" w:rsidRPr="00FF0DA4" w:rsidSect="00852CBF">
      <w:type w:val="continuous"/>
      <w:pgSz w:w="12240" w:h="15840"/>
      <w:pgMar w:top="108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LTPro-Dem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1F4"/>
    <w:multiLevelType w:val="hybridMultilevel"/>
    <w:tmpl w:val="BCDA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7F3"/>
    <w:multiLevelType w:val="hybridMultilevel"/>
    <w:tmpl w:val="905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3FC1"/>
    <w:multiLevelType w:val="hybridMultilevel"/>
    <w:tmpl w:val="0978B256"/>
    <w:lvl w:ilvl="0" w:tplc="0910EE0C">
      <w:numFmt w:val="bullet"/>
      <w:lvlText w:val="•"/>
      <w:lvlJc w:val="left"/>
      <w:pPr>
        <w:ind w:left="720" w:hanging="360"/>
      </w:pPr>
      <w:rPr>
        <w:rFonts w:ascii="AvenirNextLTPro-Regular" w:eastAsiaTheme="minorHAnsi" w:hAnsi="AvenirNextLTPro-Regular" w:cs="AvenirNextLTPro-Regular"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CB9"/>
    <w:multiLevelType w:val="hybridMultilevel"/>
    <w:tmpl w:val="F8047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42289"/>
    <w:multiLevelType w:val="hybridMultilevel"/>
    <w:tmpl w:val="72D4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05983"/>
    <w:multiLevelType w:val="hybridMultilevel"/>
    <w:tmpl w:val="6860A6BA"/>
    <w:lvl w:ilvl="0" w:tplc="840067F2">
      <w:numFmt w:val="bullet"/>
      <w:lvlText w:val="•"/>
      <w:lvlJc w:val="left"/>
      <w:pPr>
        <w:ind w:left="720" w:hanging="360"/>
      </w:pPr>
      <w:rPr>
        <w:rFonts w:ascii="AvenirNextLTPro-Regular" w:eastAsiaTheme="minorHAnsi" w:hAnsi="AvenirNextLTPro-Regular" w:cs="AvenirNextLT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10E42"/>
    <w:multiLevelType w:val="hybridMultilevel"/>
    <w:tmpl w:val="3C7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969F6"/>
    <w:multiLevelType w:val="hybridMultilevel"/>
    <w:tmpl w:val="B8B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77F8"/>
    <w:multiLevelType w:val="hybridMultilevel"/>
    <w:tmpl w:val="704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87745"/>
    <w:multiLevelType w:val="hybridMultilevel"/>
    <w:tmpl w:val="B04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93683"/>
    <w:multiLevelType w:val="hybridMultilevel"/>
    <w:tmpl w:val="F414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32129"/>
    <w:multiLevelType w:val="hybridMultilevel"/>
    <w:tmpl w:val="D4A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C7C2F"/>
    <w:multiLevelType w:val="hybridMultilevel"/>
    <w:tmpl w:val="F530C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5D050E"/>
    <w:multiLevelType w:val="hybridMultilevel"/>
    <w:tmpl w:val="BBD21E26"/>
    <w:lvl w:ilvl="0" w:tplc="840067F2">
      <w:numFmt w:val="bullet"/>
      <w:lvlText w:val="•"/>
      <w:lvlJc w:val="left"/>
      <w:pPr>
        <w:ind w:left="720" w:hanging="360"/>
      </w:pPr>
      <w:rPr>
        <w:rFonts w:ascii="AvenirNextLTPro-Regular" w:eastAsiaTheme="minorHAnsi" w:hAnsi="AvenirNextLTPro-Regular" w:cs="AvenirNextLT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48AF"/>
    <w:multiLevelType w:val="hybridMultilevel"/>
    <w:tmpl w:val="59CAF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862669"/>
    <w:multiLevelType w:val="hybridMultilevel"/>
    <w:tmpl w:val="7F10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5224D"/>
    <w:multiLevelType w:val="hybridMultilevel"/>
    <w:tmpl w:val="3BC8D6B0"/>
    <w:lvl w:ilvl="0" w:tplc="AAAAEB8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73D42"/>
    <w:multiLevelType w:val="hybridMultilevel"/>
    <w:tmpl w:val="8264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C11D9"/>
    <w:multiLevelType w:val="hybridMultilevel"/>
    <w:tmpl w:val="E56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E1BA4"/>
    <w:multiLevelType w:val="hybridMultilevel"/>
    <w:tmpl w:val="0F8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E0E1E"/>
    <w:multiLevelType w:val="hybridMultilevel"/>
    <w:tmpl w:val="9B70BEFE"/>
    <w:lvl w:ilvl="0" w:tplc="840067F2">
      <w:numFmt w:val="bullet"/>
      <w:lvlText w:val="•"/>
      <w:lvlJc w:val="left"/>
      <w:pPr>
        <w:ind w:left="720" w:hanging="360"/>
      </w:pPr>
      <w:rPr>
        <w:rFonts w:ascii="AvenirNextLTPro-Regular" w:eastAsiaTheme="minorHAnsi" w:hAnsi="AvenirNextLTPro-Regular" w:cs="AvenirNextLTPro-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20FE8"/>
    <w:multiLevelType w:val="hybridMultilevel"/>
    <w:tmpl w:val="BE9E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C0FC7"/>
    <w:multiLevelType w:val="hybridMultilevel"/>
    <w:tmpl w:val="CE74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60C19"/>
    <w:multiLevelType w:val="hybridMultilevel"/>
    <w:tmpl w:val="87ECE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65B99"/>
    <w:multiLevelType w:val="hybridMultilevel"/>
    <w:tmpl w:val="8DAE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77006"/>
    <w:multiLevelType w:val="hybridMultilevel"/>
    <w:tmpl w:val="E45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3591F"/>
    <w:multiLevelType w:val="hybridMultilevel"/>
    <w:tmpl w:val="98DA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F2E29"/>
    <w:multiLevelType w:val="hybridMultilevel"/>
    <w:tmpl w:val="179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A347B"/>
    <w:multiLevelType w:val="hybridMultilevel"/>
    <w:tmpl w:val="258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
  </w:num>
  <w:num w:numId="4">
    <w:abstractNumId w:val="16"/>
  </w:num>
  <w:num w:numId="5">
    <w:abstractNumId w:val="23"/>
  </w:num>
  <w:num w:numId="6">
    <w:abstractNumId w:val="21"/>
  </w:num>
  <w:num w:numId="7">
    <w:abstractNumId w:val="17"/>
  </w:num>
  <w:num w:numId="8">
    <w:abstractNumId w:val="24"/>
  </w:num>
  <w:num w:numId="9">
    <w:abstractNumId w:val="15"/>
  </w:num>
  <w:num w:numId="10">
    <w:abstractNumId w:val="27"/>
  </w:num>
  <w:num w:numId="11">
    <w:abstractNumId w:val="8"/>
  </w:num>
  <w:num w:numId="12">
    <w:abstractNumId w:val="19"/>
  </w:num>
  <w:num w:numId="13">
    <w:abstractNumId w:val="28"/>
  </w:num>
  <w:num w:numId="14">
    <w:abstractNumId w:val="6"/>
  </w:num>
  <w:num w:numId="15">
    <w:abstractNumId w:val="0"/>
  </w:num>
  <w:num w:numId="16">
    <w:abstractNumId w:val="11"/>
  </w:num>
  <w:num w:numId="17">
    <w:abstractNumId w:val="7"/>
  </w:num>
  <w:num w:numId="18">
    <w:abstractNumId w:val="13"/>
  </w:num>
  <w:num w:numId="19">
    <w:abstractNumId w:val="5"/>
  </w:num>
  <w:num w:numId="20">
    <w:abstractNumId w:val="20"/>
  </w:num>
  <w:num w:numId="21">
    <w:abstractNumId w:val="26"/>
  </w:num>
  <w:num w:numId="22">
    <w:abstractNumId w:val="4"/>
  </w:num>
  <w:num w:numId="23">
    <w:abstractNumId w:val="25"/>
  </w:num>
  <w:num w:numId="24">
    <w:abstractNumId w:val="14"/>
  </w:num>
  <w:num w:numId="25">
    <w:abstractNumId w:val="18"/>
  </w:num>
  <w:num w:numId="26">
    <w:abstractNumId w:val="12"/>
  </w:num>
  <w:num w:numId="27">
    <w:abstractNumId w:val="9"/>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00"/>
    <w:rsid w:val="000349C6"/>
    <w:rsid w:val="0003778C"/>
    <w:rsid w:val="00040C77"/>
    <w:rsid w:val="0007793B"/>
    <w:rsid w:val="000837CE"/>
    <w:rsid w:val="000C002A"/>
    <w:rsid w:val="00113839"/>
    <w:rsid w:val="001278D4"/>
    <w:rsid w:val="00131CC9"/>
    <w:rsid w:val="00134C83"/>
    <w:rsid w:val="00194FB4"/>
    <w:rsid w:val="001A199A"/>
    <w:rsid w:val="001A6FE6"/>
    <w:rsid w:val="001B5127"/>
    <w:rsid w:val="001E2796"/>
    <w:rsid w:val="001E2962"/>
    <w:rsid w:val="001E54CC"/>
    <w:rsid w:val="001F42B3"/>
    <w:rsid w:val="00211C05"/>
    <w:rsid w:val="00237CF0"/>
    <w:rsid w:val="0024688C"/>
    <w:rsid w:val="002648F0"/>
    <w:rsid w:val="002779DC"/>
    <w:rsid w:val="002A0045"/>
    <w:rsid w:val="002A630E"/>
    <w:rsid w:val="002A6DD7"/>
    <w:rsid w:val="002C04C2"/>
    <w:rsid w:val="00301C3B"/>
    <w:rsid w:val="00307A6F"/>
    <w:rsid w:val="0032585B"/>
    <w:rsid w:val="003324B1"/>
    <w:rsid w:val="00342B85"/>
    <w:rsid w:val="00345249"/>
    <w:rsid w:val="00390949"/>
    <w:rsid w:val="00397AE5"/>
    <w:rsid w:val="003D0F4A"/>
    <w:rsid w:val="003D7212"/>
    <w:rsid w:val="00405704"/>
    <w:rsid w:val="00420F50"/>
    <w:rsid w:val="00441B85"/>
    <w:rsid w:val="004503C8"/>
    <w:rsid w:val="004560EA"/>
    <w:rsid w:val="004632C9"/>
    <w:rsid w:val="004652FB"/>
    <w:rsid w:val="00465F92"/>
    <w:rsid w:val="00473452"/>
    <w:rsid w:val="00486288"/>
    <w:rsid w:val="00492A21"/>
    <w:rsid w:val="004B64F2"/>
    <w:rsid w:val="004C3198"/>
    <w:rsid w:val="005450D8"/>
    <w:rsid w:val="005575F1"/>
    <w:rsid w:val="00575F2E"/>
    <w:rsid w:val="0057737C"/>
    <w:rsid w:val="00593163"/>
    <w:rsid w:val="005969A1"/>
    <w:rsid w:val="005A4AE2"/>
    <w:rsid w:val="005A4FA5"/>
    <w:rsid w:val="005D6E8E"/>
    <w:rsid w:val="005E168C"/>
    <w:rsid w:val="005E7823"/>
    <w:rsid w:val="00601FF5"/>
    <w:rsid w:val="00647E1C"/>
    <w:rsid w:val="0065506C"/>
    <w:rsid w:val="00684EC9"/>
    <w:rsid w:val="00695758"/>
    <w:rsid w:val="006D490D"/>
    <w:rsid w:val="006E2590"/>
    <w:rsid w:val="006E6F62"/>
    <w:rsid w:val="006F7402"/>
    <w:rsid w:val="00735346"/>
    <w:rsid w:val="00736494"/>
    <w:rsid w:val="007466E1"/>
    <w:rsid w:val="00763B30"/>
    <w:rsid w:val="0076440F"/>
    <w:rsid w:val="007713A6"/>
    <w:rsid w:val="007A3EEA"/>
    <w:rsid w:val="007B18B4"/>
    <w:rsid w:val="007D38B1"/>
    <w:rsid w:val="007D482A"/>
    <w:rsid w:val="007E51DB"/>
    <w:rsid w:val="00810D14"/>
    <w:rsid w:val="00822E1F"/>
    <w:rsid w:val="0082418E"/>
    <w:rsid w:val="008364B4"/>
    <w:rsid w:val="00852CBF"/>
    <w:rsid w:val="008671DD"/>
    <w:rsid w:val="00875CB0"/>
    <w:rsid w:val="00886D9D"/>
    <w:rsid w:val="00890FCD"/>
    <w:rsid w:val="008C129A"/>
    <w:rsid w:val="0091294F"/>
    <w:rsid w:val="009155DF"/>
    <w:rsid w:val="009177AC"/>
    <w:rsid w:val="0092772F"/>
    <w:rsid w:val="00932D31"/>
    <w:rsid w:val="00944A98"/>
    <w:rsid w:val="00962F5A"/>
    <w:rsid w:val="00975CDB"/>
    <w:rsid w:val="00983CDF"/>
    <w:rsid w:val="009B141E"/>
    <w:rsid w:val="009D5742"/>
    <w:rsid w:val="009E0380"/>
    <w:rsid w:val="009F232A"/>
    <w:rsid w:val="00A053D3"/>
    <w:rsid w:val="00A07A30"/>
    <w:rsid w:val="00A27D0B"/>
    <w:rsid w:val="00A47BC5"/>
    <w:rsid w:val="00A5022C"/>
    <w:rsid w:val="00A649C5"/>
    <w:rsid w:val="00A66E02"/>
    <w:rsid w:val="00A7718F"/>
    <w:rsid w:val="00A848EE"/>
    <w:rsid w:val="00A97586"/>
    <w:rsid w:val="00AA4E3B"/>
    <w:rsid w:val="00AD673F"/>
    <w:rsid w:val="00B11D7F"/>
    <w:rsid w:val="00B32A1C"/>
    <w:rsid w:val="00B5136F"/>
    <w:rsid w:val="00B72189"/>
    <w:rsid w:val="00B97F06"/>
    <w:rsid w:val="00BB6011"/>
    <w:rsid w:val="00C02BF1"/>
    <w:rsid w:val="00C03258"/>
    <w:rsid w:val="00C24FFF"/>
    <w:rsid w:val="00C35ADC"/>
    <w:rsid w:val="00C8782D"/>
    <w:rsid w:val="00CB0096"/>
    <w:rsid w:val="00CB4560"/>
    <w:rsid w:val="00D116FA"/>
    <w:rsid w:val="00D24839"/>
    <w:rsid w:val="00D30703"/>
    <w:rsid w:val="00D53600"/>
    <w:rsid w:val="00D91C61"/>
    <w:rsid w:val="00D97CC7"/>
    <w:rsid w:val="00DA2537"/>
    <w:rsid w:val="00DA6FB3"/>
    <w:rsid w:val="00DC5791"/>
    <w:rsid w:val="00E25A0D"/>
    <w:rsid w:val="00E32A63"/>
    <w:rsid w:val="00E42D9B"/>
    <w:rsid w:val="00E646C6"/>
    <w:rsid w:val="00E710AD"/>
    <w:rsid w:val="00E73A95"/>
    <w:rsid w:val="00EA3B23"/>
    <w:rsid w:val="00EB1352"/>
    <w:rsid w:val="00EE743F"/>
    <w:rsid w:val="00EF74A2"/>
    <w:rsid w:val="00F22FC4"/>
    <w:rsid w:val="00F23A30"/>
    <w:rsid w:val="00F255EB"/>
    <w:rsid w:val="00F32A24"/>
    <w:rsid w:val="00F53465"/>
    <w:rsid w:val="00F75C2B"/>
    <w:rsid w:val="00F839CC"/>
    <w:rsid w:val="00FA155D"/>
    <w:rsid w:val="00FA67BD"/>
    <w:rsid w:val="00FE497D"/>
    <w:rsid w:val="00FF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B3D"/>
  <w15:chartTrackingRefBased/>
  <w15:docId w15:val="{02B63E90-F253-4D22-9079-CC53C003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aryOrangeHeader">
    <w:name w:val="Primary Orange Header"/>
    <w:basedOn w:val="Normal"/>
    <w:uiPriority w:val="99"/>
    <w:rsid w:val="00D53600"/>
    <w:pPr>
      <w:autoSpaceDE w:val="0"/>
      <w:autoSpaceDN w:val="0"/>
      <w:adjustRightInd w:val="0"/>
      <w:spacing w:after="0" w:line="288" w:lineRule="auto"/>
      <w:textAlignment w:val="center"/>
    </w:pPr>
    <w:rPr>
      <w:rFonts w:ascii="AvenirNext LT Pro Regular" w:hAnsi="AvenirNext LT Pro Regular" w:cs="AvenirNext LT Pro Regular"/>
      <w:color w:val="F4A61C"/>
      <w:sz w:val="48"/>
      <w:szCs w:val="48"/>
    </w:rPr>
  </w:style>
  <w:style w:type="paragraph" w:customStyle="1" w:styleId="BasicParagraph">
    <w:name w:val="[Basic Paragraph]"/>
    <w:basedOn w:val="Normal"/>
    <w:uiPriority w:val="99"/>
    <w:rsid w:val="00D5360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53600"/>
    <w:pPr>
      <w:ind w:left="720"/>
      <w:contextualSpacing/>
    </w:pPr>
  </w:style>
  <w:style w:type="paragraph" w:customStyle="1" w:styleId="BasicParagraph0">
    <w:name w:val="Basic Paragraph"/>
    <w:basedOn w:val="Normal"/>
    <w:uiPriority w:val="99"/>
    <w:rsid w:val="00684EC9"/>
    <w:pPr>
      <w:autoSpaceDE w:val="0"/>
      <w:autoSpaceDN w:val="0"/>
      <w:adjustRightInd w:val="0"/>
      <w:spacing w:after="0" w:line="280" w:lineRule="atLeast"/>
      <w:textAlignment w:val="center"/>
    </w:pPr>
    <w:rPr>
      <w:rFonts w:ascii="AvenirNext LT Pro Regular" w:hAnsi="AvenirNext LT Pro Regular" w:cs="AvenirNext LT Pro Regular"/>
      <w:color w:val="000000"/>
    </w:rPr>
  </w:style>
  <w:style w:type="character" w:styleId="CommentReference">
    <w:name w:val="annotation reference"/>
    <w:basedOn w:val="DefaultParagraphFont"/>
    <w:uiPriority w:val="99"/>
    <w:semiHidden/>
    <w:unhideWhenUsed/>
    <w:rsid w:val="0092772F"/>
    <w:rPr>
      <w:sz w:val="16"/>
      <w:szCs w:val="16"/>
    </w:rPr>
  </w:style>
  <w:style w:type="paragraph" w:styleId="CommentText">
    <w:name w:val="annotation text"/>
    <w:basedOn w:val="Normal"/>
    <w:link w:val="CommentTextChar"/>
    <w:uiPriority w:val="99"/>
    <w:semiHidden/>
    <w:unhideWhenUsed/>
    <w:rsid w:val="0092772F"/>
    <w:pPr>
      <w:spacing w:line="240" w:lineRule="auto"/>
    </w:pPr>
    <w:rPr>
      <w:sz w:val="20"/>
      <w:szCs w:val="20"/>
    </w:rPr>
  </w:style>
  <w:style w:type="character" w:customStyle="1" w:styleId="CommentTextChar">
    <w:name w:val="Comment Text Char"/>
    <w:basedOn w:val="DefaultParagraphFont"/>
    <w:link w:val="CommentText"/>
    <w:uiPriority w:val="99"/>
    <w:semiHidden/>
    <w:rsid w:val="0092772F"/>
    <w:rPr>
      <w:sz w:val="20"/>
      <w:szCs w:val="20"/>
    </w:rPr>
  </w:style>
  <w:style w:type="paragraph" w:styleId="CommentSubject">
    <w:name w:val="annotation subject"/>
    <w:basedOn w:val="CommentText"/>
    <w:next w:val="CommentText"/>
    <w:link w:val="CommentSubjectChar"/>
    <w:uiPriority w:val="99"/>
    <w:semiHidden/>
    <w:unhideWhenUsed/>
    <w:rsid w:val="0092772F"/>
    <w:rPr>
      <w:b/>
      <w:bCs/>
    </w:rPr>
  </w:style>
  <w:style w:type="character" w:customStyle="1" w:styleId="CommentSubjectChar">
    <w:name w:val="Comment Subject Char"/>
    <w:basedOn w:val="CommentTextChar"/>
    <w:link w:val="CommentSubject"/>
    <w:uiPriority w:val="99"/>
    <w:semiHidden/>
    <w:rsid w:val="0092772F"/>
    <w:rPr>
      <w:b/>
      <w:bCs/>
      <w:sz w:val="20"/>
      <w:szCs w:val="20"/>
    </w:rPr>
  </w:style>
  <w:style w:type="paragraph" w:styleId="BalloonText">
    <w:name w:val="Balloon Text"/>
    <w:basedOn w:val="Normal"/>
    <w:link w:val="BalloonTextChar"/>
    <w:uiPriority w:val="99"/>
    <w:semiHidden/>
    <w:unhideWhenUsed/>
    <w:rsid w:val="00927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2F"/>
    <w:rPr>
      <w:rFonts w:ascii="Segoe UI" w:hAnsi="Segoe UI" w:cs="Segoe UI"/>
      <w:sz w:val="18"/>
      <w:szCs w:val="18"/>
    </w:rPr>
  </w:style>
  <w:style w:type="paragraph" w:customStyle="1" w:styleId="Default">
    <w:name w:val="Default"/>
    <w:rsid w:val="00397A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30286">
      <w:bodyDiv w:val="1"/>
      <w:marLeft w:val="0"/>
      <w:marRight w:val="0"/>
      <w:marTop w:val="0"/>
      <w:marBottom w:val="0"/>
      <w:divBdr>
        <w:top w:val="none" w:sz="0" w:space="0" w:color="auto"/>
        <w:left w:val="none" w:sz="0" w:space="0" w:color="auto"/>
        <w:bottom w:val="none" w:sz="0" w:space="0" w:color="auto"/>
        <w:right w:val="none" w:sz="0" w:space="0" w:color="auto"/>
      </w:divBdr>
    </w:div>
    <w:div w:id="1434014959">
      <w:bodyDiv w:val="1"/>
      <w:marLeft w:val="0"/>
      <w:marRight w:val="0"/>
      <w:marTop w:val="0"/>
      <w:marBottom w:val="0"/>
      <w:divBdr>
        <w:top w:val="none" w:sz="0" w:space="0" w:color="auto"/>
        <w:left w:val="none" w:sz="0" w:space="0" w:color="auto"/>
        <w:bottom w:val="none" w:sz="0" w:space="0" w:color="auto"/>
        <w:right w:val="none" w:sz="0" w:space="0" w:color="auto"/>
      </w:divBdr>
    </w:div>
    <w:div w:id="1567300105">
      <w:bodyDiv w:val="1"/>
      <w:marLeft w:val="0"/>
      <w:marRight w:val="0"/>
      <w:marTop w:val="0"/>
      <w:marBottom w:val="0"/>
      <w:divBdr>
        <w:top w:val="none" w:sz="0" w:space="0" w:color="auto"/>
        <w:left w:val="none" w:sz="0" w:space="0" w:color="auto"/>
        <w:bottom w:val="none" w:sz="0" w:space="0" w:color="auto"/>
        <w:right w:val="none" w:sz="0" w:space="0" w:color="auto"/>
      </w:divBdr>
    </w:div>
    <w:div w:id="1768233542">
      <w:bodyDiv w:val="1"/>
      <w:marLeft w:val="0"/>
      <w:marRight w:val="0"/>
      <w:marTop w:val="0"/>
      <w:marBottom w:val="0"/>
      <w:divBdr>
        <w:top w:val="none" w:sz="0" w:space="0" w:color="auto"/>
        <w:left w:val="none" w:sz="0" w:space="0" w:color="auto"/>
        <w:bottom w:val="none" w:sz="0" w:space="0" w:color="auto"/>
        <w:right w:val="none" w:sz="0" w:space="0" w:color="auto"/>
      </w:divBdr>
    </w:div>
    <w:div w:id="20105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3E9413C3A11E41B1BDC08DA48737CD" ma:contentTypeVersion="4" ma:contentTypeDescription="Create a new document." ma:contentTypeScope="" ma:versionID="a1199f054c25a760ebd932f188dc6576">
  <xsd:schema xmlns:xsd="http://www.w3.org/2001/XMLSchema" xmlns:xs="http://www.w3.org/2001/XMLSchema" xmlns:p="http://schemas.microsoft.com/office/2006/metadata/properties" xmlns:ns3="302bc76c-8196-4019-996f-d6ffc4b1bc50" targetNamespace="http://schemas.microsoft.com/office/2006/metadata/properties" ma:root="true" ma:fieldsID="afa549d9032dcbb8bbcf2639695134ca" ns3:_="">
    <xsd:import namespace="302bc76c-8196-4019-996f-d6ffc4b1bc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bc76c-8196-4019-996f-d6ffc4b1b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460D9-C556-4A4B-943E-80F30C556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0E446-C645-460C-B338-1AAA891B0B8F}">
  <ds:schemaRefs>
    <ds:schemaRef ds:uri="http://schemas.openxmlformats.org/officeDocument/2006/bibliography"/>
  </ds:schemaRefs>
</ds:datastoreItem>
</file>

<file path=customXml/itemProps3.xml><?xml version="1.0" encoding="utf-8"?>
<ds:datastoreItem xmlns:ds="http://schemas.openxmlformats.org/officeDocument/2006/customXml" ds:itemID="{E411FAC3-CDFC-4A43-AEB3-939D60A4F736}">
  <ds:schemaRefs>
    <ds:schemaRef ds:uri="http://schemas.microsoft.com/sharepoint/v3/contenttype/forms"/>
  </ds:schemaRefs>
</ds:datastoreItem>
</file>

<file path=customXml/itemProps4.xml><?xml version="1.0" encoding="utf-8"?>
<ds:datastoreItem xmlns:ds="http://schemas.openxmlformats.org/officeDocument/2006/customXml" ds:itemID="{110E22F0-63F9-4DDD-A44B-B5E3BB0DA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bc76c-8196-4019-996f-d6ffc4b1b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Brown</dc:creator>
  <cp:keywords/>
  <dc:description/>
  <cp:lastModifiedBy>Tina Belge</cp:lastModifiedBy>
  <cp:revision>2</cp:revision>
  <dcterms:created xsi:type="dcterms:W3CDTF">2020-10-13T16:04:00Z</dcterms:created>
  <dcterms:modified xsi:type="dcterms:W3CDTF">2020-10-13T16:04:00Z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0x010100AE3E9413C3A11E41B1BDC08DA48737CD</vt:lpwstr>
  </property>
</Properties>
</file>